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26F57" w14:textId="6FC2D2BE" w:rsidR="00466970" w:rsidRDefault="00466970" w:rsidP="00A466E6">
      <w:pPr>
        <w:pStyle w:val="SY1"/>
        <w:numPr>
          <w:ilvl w:val="0"/>
          <w:numId w:val="0"/>
        </w:numPr>
        <w:spacing w:before="120" w:after="120"/>
        <w:jc w:val="center"/>
        <w:outlineLvl w:val="0"/>
        <w:rPr>
          <w:rFonts w:ascii="Arial" w:hAnsi="Arial"/>
        </w:rPr>
      </w:pPr>
      <w:bookmarkStart w:id="0" w:name="_Toc211361279"/>
      <w:r>
        <w:rPr>
          <w:rFonts w:ascii="Arial" w:hAnsi="Arial"/>
        </w:rPr>
        <w:t>Glycosylation Effects on Biological Therapies</w:t>
      </w:r>
    </w:p>
    <w:p w14:paraId="632BE4AE" w14:textId="0FE5FEFE" w:rsidR="00466970" w:rsidRPr="00A466E6" w:rsidRDefault="00466970" w:rsidP="00A466E6">
      <w:pPr>
        <w:pStyle w:val="SY1"/>
        <w:numPr>
          <w:ilvl w:val="0"/>
          <w:numId w:val="0"/>
        </w:numPr>
        <w:spacing w:before="120" w:after="120"/>
        <w:jc w:val="center"/>
        <w:outlineLvl w:val="0"/>
        <w:rPr>
          <w:rFonts w:ascii="Arial" w:hAnsi="Arial"/>
          <w:sz w:val="28"/>
          <w:szCs w:val="28"/>
        </w:rPr>
      </w:pPr>
      <w:r w:rsidRPr="00A466E6">
        <w:rPr>
          <w:rFonts w:ascii="Arial" w:hAnsi="Arial"/>
          <w:sz w:val="28"/>
          <w:szCs w:val="28"/>
        </w:rPr>
        <w:t>Sharon Yehuda</w:t>
      </w:r>
    </w:p>
    <w:p w14:paraId="4E92E8D6" w14:textId="2DC846BD" w:rsidR="00466970" w:rsidRPr="00A466E6" w:rsidRDefault="00466970" w:rsidP="00A466E6">
      <w:pPr>
        <w:pStyle w:val="SY1"/>
        <w:numPr>
          <w:ilvl w:val="0"/>
          <w:numId w:val="0"/>
        </w:numPr>
        <w:spacing w:before="120" w:after="120"/>
        <w:jc w:val="center"/>
        <w:outlineLvl w:val="0"/>
        <w:rPr>
          <w:rFonts w:ascii="Arial" w:hAnsi="Arial"/>
          <w:sz w:val="28"/>
          <w:szCs w:val="28"/>
        </w:rPr>
      </w:pPr>
      <w:r w:rsidRPr="00A466E6">
        <w:rPr>
          <w:rFonts w:ascii="Arial" w:hAnsi="Arial"/>
          <w:sz w:val="28"/>
          <w:szCs w:val="28"/>
        </w:rPr>
        <w:t>Under the supervision of Prof. Vered Padler-</w:t>
      </w:r>
      <w:proofErr w:type="spellStart"/>
      <w:r w:rsidRPr="00A466E6">
        <w:rPr>
          <w:rFonts w:ascii="Arial" w:hAnsi="Arial"/>
          <w:sz w:val="28"/>
          <w:szCs w:val="28"/>
        </w:rPr>
        <w:t>Karavani</w:t>
      </w:r>
      <w:proofErr w:type="spellEnd"/>
    </w:p>
    <w:bookmarkEnd w:id="0"/>
    <w:p w14:paraId="79FE3521" w14:textId="7F07CD6B" w:rsidR="00307CFA" w:rsidRDefault="009B27ED" w:rsidP="002D52C8">
      <w:pPr>
        <w:pStyle w:val="SY3"/>
        <w:numPr>
          <w:ilvl w:val="0"/>
          <w:numId w:val="0"/>
        </w:numPr>
        <w:spacing w:before="0"/>
        <w:ind w:firstLine="864"/>
        <w:rPr>
          <w:rFonts w:ascii="Arial" w:hAnsi="Arial"/>
          <w:b w:val="0"/>
          <w:bCs w:val="0"/>
          <w:sz w:val="22"/>
          <w:szCs w:val="22"/>
        </w:rPr>
      </w:pPr>
      <w:r w:rsidRPr="00507928">
        <w:rPr>
          <w:rFonts w:ascii="Arial" w:hAnsi="Arial"/>
          <w:b w:val="0"/>
          <w:bCs w:val="0"/>
          <w:sz w:val="22"/>
          <w:szCs w:val="22"/>
        </w:rPr>
        <w:t>Glycans that decorate cell surfaces and soluble macromolecules play key roles in biological therapies, particularly through their terminal sialic acid (Sia) caps.</w:t>
      </w:r>
      <w:r>
        <w:rPr>
          <w:rFonts w:ascii="Arial" w:hAnsi="Arial"/>
          <w:b w:val="0"/>
          <w:bCs w:val="0"/>
          <w:sz w:val="22"/>
          <w:szCs w:val="22"/>
        </w:rPr>
        <w:t xml:space="preserve"> </w:t>
      </w:r>
      <w:r w:rsidR="00845637" w:rsidRPr="00834EC2">
        <w:rPr>
          <w:rFonts w:ascii="Arial" w:hAnsi="Arial"/>
          <w:b w:val="0"/>
          <w:bCs w:val="0"/>
          <w:sz w:val="22"/>
          <w:szCs w:val="22"/>
        </w:rPr>
        <w:t>This</w:t>
      </w:r>
      <w:r w:rsidR="00834EC2">
        <w:rPr>
          <w:rFonts w:ascii="Arial" w:hAnsi="Arial"/>
          <w:b w:val="0"/>
          <w:bCs w:val="0"/>
          <w:sz w:val="22"/>
          <w:szCs w:val="22"/>
        </w:rPr>
        <w:t xml:space="preserve"> PhD</w:t>
      </w:r>
      <w:r w:rsidR="00845637" w:rsidRPr="00834EC2">
        <w:rPr>
          <w:rFonts w:ascii="Arial" w:hAnsi="Arial"/>
          <w:b w:val="0"/>
          <w:bCs w:val="0"/>
          <w:sz w:val="22"/>
          <w:szCs w:val="22"/>
        </w:rPr>
        <w:t xml:space="preserve"> thesis presents an integrated view of glycosylation in biological therapies, focusing on </w:t>
      </w:r>
      <w:r w:rsidR="00BA0F77">
        <w:rPr>
          <w:rFonts w:ascii="Arial" w:hAnsi="Arial"/>
          <w:b w:val="0"/>
          <w:bCs w:val="0"/>
          <w:sz w:val="22"/>
          <w:szCs w:val="22"/>
        </w:rPr>
        <w:t xml:space="preserve">sialylated </w:t>
      </w:r>
      <w:r w:rsidR="00845637" w:rsidRPr="00834EC2">
        <w:rPr>
          <w:rFonts w:ascii="Arial" w:hAnsi="Arial"/>
          <w:b w:val="0"/>
          <w:bCs w:val="0"/>
          <w:sz w:val="22"/>
          <w:szCs w:val="22"/>
        </w:rPr>
        <w:t>glycans, which are both potential therapeutic targets on diseased cells and critical attributes of therapeutic agents</w:t>
      </w:r>
      <w:r w:rsidR="002D52C8">
        <w:rPr>
          <w:rFonts w:ascii="Arial" w:hAnsi="Arial"/>
          <w:b w:val="0"/>
          <w:bCs w:val="0"/>
          <w:sz w:val="22"/>
          <w:szCs w:val="22"/>
        </w:rPr>
        <w:t>, including therapeutic a</w:t>
      </w:r>
      <w:r w:rsidR="002D52C8" w:rsidRPr="00307CFA">
        <w:rPr>
          <w:rFonts w:ascii="Arial" w:hAnsi="Arial"/>
          <w:b w:val="0"/>
          <w:bCs w:val="0"/>
          <w:sz w:val="22"/>
          <w:szCs w:val="22"/>
        </w:rPr>
        <w:t>nti-</w:t>
      </w:r>
      <w:r w:rsidR="002D52C8" w:rsidRPr="00507928">
        <w:rPr>
          <w:rFonts w:ascii="Arial" w:hAnsi="Arial"/>
          <w:b w:val="0"/>
          <w:bCs w:val="0"/>
          <w:sz w:val="22"/>
          <w:szCs w:val="22"/>
        </w:rPr>
        <w:t>TNFα</w:t>
      </w:r>
      <w:r w:rsidR="002D52C8" w:rsidRPr="00307CFA">
        <w:rPr>
          <w:rFonts w:ascii="Arial" w:hAnsi="Arial"/>
          <w:b w:val="0"/>
          <w:bCs w:val="0"/>
          <w:sz w:val="22"/>
          <w:szCs w:val="22"/>
        </w:rPr>
        <w:t xml:space="preserve"> </w:t>
      </w:r>
      <w:r w:rsidR="002D52C8">
        <w:rPr>
          <w:rFonts w:ascii="Arial" w:hAnsi="Arial"/>
          <w:b w:val="0"/>
          <w:bCs w:val="0"/>
          <w:sz w:val="22"/>
          <w:szCs w:val="22"/>
        </w:rPr>
        <w:t xml:space="preserve">monoclonal </w:t>
      </w:r>
      <w:r w:rsidR="002D52C8" w:rsidRPr="00307CFA">
        <w:rPr>
          <w:rFonts w:ascii="Arial" w:hAnsi="Arial"/>
          <w:b w:val="0"/>
          <w:bCs w:val="0"/>
          <w:sz w:val="22"/>
          <w:szCs w:val="22"/>
        </w:rPr>
        <w:t>antibodies</w:t>
      </w:r>
      <w:r w:rsidR="00845637" w:rsidRPr="00834EC2">
        <w:rPr>
          <w:rFonts w:ascii="Arial" w:hAnsi="Arial"/>
          <w:b w:val="0"/>
          <w:bCs w:val="0"/>
          <w:sz w:val="22"/>
          <w:szCs w:val="22"/>
        </w:rPr>
        <w:t>.</w:t>
      </w:r>
      <w:r w:rsidR="002D52C8">
        <w:rPr>
          <w:rFonts w:ascii="Arial" w:hAnsi="Arial"/>
          <w:b w:val="0"/>
          <w:bCs w:val="0"/>
          <w:sz w:val="22"/>
          <w:szCs w:val="22"/>
        </w:rPr>
        <w:t xml:space="preserve"> </w:t>
      </w:r>
      <w:r w:rsidR="00307CFA" w:rsidRPr="00307CFA">
        <w:rPr>
          <w:rFonts w:ascii="Arial" w:hAnsi="Arial"/>
          <w:b w:val="0"/>
          <w:bCs w:val="0"/>
          <w:sz w:val="22"/>
          <w:szCs w:val="22"/>
        </w:rPr>
        <w:t>Anti-</w:t>
      </w:r>
      <w:r w:rsidR="00307CFA" w:rsidRPr="00507928">
        <w:rPr>
          <w:rFonts w:ascii="Arial" w:hAnsi="Arial"/>
          <w:b w:val="0"/>
          <w:bCs w:val="0"/>
          <w:sz w:val="22"/>
          <w:szCs w:val="22"/>
        </w:rPr>
        <w:t>TNFα</w:t>
      </w:r>
      <w:r w:rsidR="00307CFA" w:rsidRPr="00307CFA">
        <w:rPr>
          <w:rFonts w:ascii="Arial" w:hAnsi="Arial"/>
          <w:b w:val="0"/>
          <w:bCs w:val="0"/>
          <w:sz w:val="22"/>
          <w:szCs w:val="22"/>
        </w:rPr>
        <w:t xml:space="preserve"> antibodies are widely used to treat </w:t>
      </w:r>
      <w:r w:rsidR="00307CFA">
        <w:rPr>
          <w:rFonts w:ascii="Arial" w:hAnsi="Arial"/>
          <w:b w:val="0"/>
          <w:bCs w:val="0"/>
          <w:sz w:val="22"/>
          <w:szCs w:val="22"/>
        </w:rPr>
        <w:t>I</w:t>
      </w:r>
      <w:r w:rsidR="00307CFA" w:rsidRPr="00307CFA">
        <w:rPr>
          <w:rFonts w:ascii="Arial" w:hAnsi="Arial"/>
          <w:b w:val="0"/>
          <w:bCs w:val="0"/>
          <w:sz w:val="22"/>
          <w:szCs w:val="22"/>
        </w:rPr>
        <w:t xml:space="preserve">nflammatory </w:t>
      </w:r>
      <w:r w:rsidR="00307CFA">
        <w:rPr>
          <w:rFonts w:ascii="Arial" w:hAnsi="Arial"/>
          <w:b w:val="0"/>
          <w:bCs w:val="0"/>
          <w:sz w:val="22"/>
          <w:szCs w:val="22"/>
        </w:rPr>
        <w:t>B</w:t>
      </w:r>
      <w:r w:rsidR="00307CFA" w:rsidRPr="00307CFA">
        <w:rPr>
          <w:rFonts w:ascii="Arial" w:hAnsi="Arial"/>
          <w:b w:val="0"/>
          <w:bCs w:val="0"/>
          <w:sz w:val="22"/>
          <w:szCs w:val="22"/>
        </w:rPr>
        <w:t xml:space="preserve">owel </w:t>
      </w:r>
      <w:r w:rsidR="00307CFA">
        <w:rPr>
          <w:rFonts w:ascii="Arial" w:hAnsi="Arial"/>
          <w:b w:val="0"/>
          <w:bCs w:val="0"/>
          <w:sz w:val="22"/>
          <w:szCs w:val="22"/>
        </w:rPr>
        <w:t>D</w:t>
      </w:r>
      <w:r w:rsidR="00307CFA" w:rsidRPr="00307CFA">
        <w:rPr>
          <w:rFonts w:ascii="Arial" w:hAnsi="Arial"/>
          <w:b w:val="0"/>
          <w:bCs w:val="0"/>
          <w:sz w:val="22"/>
          <w:szCs w:val="22"/>
        </w:rPr>
        <w:t xml:space="preserve">isease (IBD), but some patients do not respond to such </w:t>
      </w:r>
      <w:r w:rsidR="00807882" w:rsidRPr="00307CFA">
        <w:rPr>
          <w:rFonts w:ascii="Arial" w:hAnsi="Arial"/>
          <w:b w:val="0"/>
          <w:bCs w:val="0"/>
          <w:sz w:val="22"/>
          <w:szCs w:val="22"/>
        </w:rPr>
        <w:t>drugs or</w:t>
      </w:r>
      <w:r w:rsidR="00307CFA" w:rsidRPr="00307CFA">
        <w:rPr>
          <w:rFonts w:ascii="Arial" w:hAnsi="Arial"/>
          <w:b w:val="0"/>
          <w:bCs w:val="0"/>
          <w:sz w:val="22"/>
          <w:szCs w:val="22"/>
        </w:rPr>
        <w:t xml:space="preserve"> lose response over time. These drugs are glycosylated monoclonal antibodies, and their glycosylation can vary by the production system</w:t>
      </w:r>
      <w:r w:rsidR="0048553F">
        <w:rPr>
          <w:rFonts w:ascii="Arial" w:hAnsi="Arial" w:hint="cs"/>
          <w:b w:val="0"/>
          <w:bCs w:val="0"/>
          <w:sz w:val="22"/>
          <w:szCs w:val="22"/>
          <w:rtl/>
        </w:rPr>
        <w:t>;</w:t>
      </w:r>
      <w:r w:rsidR="004C156B">
        <w:rPr>
          <w:rFonts w:ascii="Arial" w:hAnsi="Arial"/>
          <w:b w:val="0"/>
          <w:bCs w:val="0"/>
          <w:sz w:val="22"/>
          <w:szCs w:val="22"/>
        </w:rPr>
        <w:t xml:space="preserve"> </w:t>
      </w:r>
      <w:r w:rsidR="0048553F" w:rsidRPr="00307CFA">
        <w:rPr>
          <w:rFonts w:ascii="Arial" w:hAnsi="Arial"/>
          <w:b w:val="0"/>
          <w:bCs w:val="0"/>
          <w:sz w:val="22"/>
          <w:szCs w:val="22"/>
        </w:rPr>
        <w:t xml:space="preserve">drugs </w:t>
      </w:r>
      <w:r w:rsidR="0048553F">
        <w:rPr>
          <w:rFonts w:ascii="Arial" w:hAnsi="Arial"/>
          <w:b w:val="0"/>
          <w:bCs w:val="0"/>
          <w:sz w:val="22"/>
          <w:szCs w:val="22"/>
        </w:rPr>
        <w:t>t</w:t>
      </w:r>
      <w:r w:rsidR="00731F84">
        <w:rPr>
          <w:rFonts w:ascii="Arial" w:hAnsi="Arial"/>
          <w:b w:val="0"/>
          <w:bCs w:val="0"/>
          <w:sz w:val="22"/>
          <w:szCs w:val="22"/>
        </w:rPr>
        <w:t>hat are produced in</w:t>
      </w:r>
      <w:r w:rsidR="00307CFA" w:rsidRPr="00507928">
        <w:rPr>
          <w:rFonts w:ascii="Arial" w:hAnsi="Arial"/>
          <w:b w:val="0"/>
          <w:bCs w:val="0"/>
          <w:sz w:val="22"/>
          <w:szCs w:val="22"/>
        </w:rPr>
        <w:t xml:space="preserve"> non-human mammalian systems</w:t>
      </w:r>
      <w:r w:rsidR="00731F84">
        <w:rPr>
          <w:rFonts w:ascii="Arial" w:hAnsi="Arial"/>
          <w:b w:val="0"/>
          <w:bCs w:val="0"/>
          <w:sz w:val="22"/>
          <w:szCs w:val="22"/>
        </w:rPr>
        <w:t xml:space="preserve"> may carry the non-human sialic acid (Sia)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 xml:space="preserve"> </w:t>
      </w:r>
      <w:r w:rsidR="00731F84" w:rsidRPr="00507928">
        <w:rPr>
          <w:rFonts w:ascii="Arial" w:hAnsi="Arial"/>
          <w:b w:val="0"/>
          <w:bCs w:val="0"/>
          <w:i/>
          <w:iCs/>
          <w:sz w:val="22"/>
          <w:szCs w:val="22"/>
        </w:rPr>
        <w:t>N</w:t>
      </w:r>
      <w:r w:rsidR="00731F84" w:rsidRPr="00507928">
        <w:rPr>
          <w:rFonts w:ascii="Arial" w:hAnsi="Arial"/>
          <w:sz w:val="22"/>
          <w:szCs w:val="22"/>
          <w:lang w:val="en-GB"/>
        </w:rPr>
        <w:sym w:font="Symbol" w:char="F02D"/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>glycolylneuraminic acid (Neu5Gc)</w:t>
      </w:r>
      <w:r w:rsidR="00307CFA" w:rsidRPr="00507928">
        <w:rPr>
          <w:rFonts w:ascii="Arial" w:hAnsi="Arial"/>
          <w:b w:val="0"/>
          <w:bCs w:val="0"/>
          <w:sz w:val="22"/>
          <w:szCs w:val="22"/>
        </w:rPr>
        <w:t xml:space="preserve">, </w:t>
      </w:r>
      <w:r w:rsidR="00731F84">
        <w:rPr>
          <w:rFonts w:ascii="Arial" w:hAnsi="Arial"/>
          <w:b w:val="0"/>
          <w:bCs w:val="0"/>
          <w:sz w:val="22"/>
          <w:szCs w:val="22"/>
        </w:rPr>
        <w:t>against which all humans produce circulating polyclonal antibodies</w:t>
      </w:r>
      <w:r w:rsidR="00307CFA" w:rsidRPr="00507928">
        <w:rPr>
          <w:rFonts w:ascii="Arial" w:hAnsi="Arial"/>
          <w:b w:val="0"/>
          <w:bCs w:val="0"/>
          <w:sz w:val="22"/>
          <w:szCs w:val="22"/>
        </w:rPr>
        <w:t xml:space="preserve">. 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 xml:space="preserve">We hypothesized that Neu5Gc on anti-TNFα drugs could be recognized by circulating anti-Neu5Gc antibodies, forming immune complexes that accelerate drug clearance and reduce treatment efficacy in IBD. </w:t>
      </w:r>
      <w:r w:rsidR="00DC5621">
        <w:rPr>
          <w:rFonts w:ascii="Arial" w:hAnsi="Arial"/>
          <w:b w:val="0"/>
          <w:bCs w:val="0"/>
          <w:sz w:val="22"/>
          <w:szCs w:val="22"/>
        </w:rPr>
        <w:t>W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 xml:space="preserve">e found that </w:t>
      </w:r>
      <w:r w:rsidR="00DC5621" w:rsidRPr="00507928">
        <w:rPr>
          <w:rFonts w:ascii="Arial" w:hAnsi="Arial"/>
          <w:b w:val="0"/>
          <w:bCs w:val="0"/>
          <w:sz w:val="22"/>
          <w:szCs w:val="22"/>
        </w:rPr>
        <w:t>Infliximab (IFX), a common anti-TNFα drug</w:t>
      </w:r>
      <w:r w:rsidR="00DC5621">
        <w:rPr>
          <w:rFonts w:ascii="Arial" w:hAnsi="Arial"/>
          <w:b w:val="0"/>
          <w:bCs w:val="0"/>
          <w:sz w:val="22"/>
          <w:szCs w:val="22"/>
        </w:rPr>
        <w:t xml:space="preserve"> </w:t>
      </w:r>
      <w:r w:rsidR="0000057D">
        <w:rPr>
          <w:rFonts w:ascii="Arial" w:hAnsi="Arial"/>
          <w:b w:val="0"/>
          <w:bCs w:val="0"/>
          <w:sz w:val="22"/>
          <w:szCs w:val="22"/>
        </w:rPr>
        <w:t>from</w:t>
      </w:r>
      <w:r w:rsidR="00DC5621">
        <w:rPr>
          <w:rFonts w:ascii="Arial" w:hAnsi="Arial"/>
          <w:b w:val="0"/>
          <w:bCs w:val="0"/>
          <w:sz w:val="22"/>
          <w:szCs w:val="22"/>
        </w:rPr>
        <w:t xml:space="preserve"> murine myeloma cells, 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 xml:space="preserve">contains Neu5Gc. In a pilot study involving adult IBD patients (n = 25) treated with IFX for more than 6 months, we </w:t>
      </w:r>
      <w:r w:rsidR="00DC5621">
        <w:rPr>
          <w:rFonts w:ascii="Arial" w:hAnsi="Arial"/>
          <w:b w:val="0"/>
          <w:bCs w:val="0"/>
          <w:sz w:val="22"/>
          <w:szCs w:val="22"/>
        </w:rPr>
        <w:t>found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 xml:space="preserve"> a trend of higher anti-Neu5Gc IgG in patients who did not respond compared to those who responded well to therapy. In a larger cohort of pediatric IBD patients (n = 107), anti-Neu5Gc IgA levels at</w:t>
      </w:r>
      <w:r w:rsidR="00F24FDD">
        <w:rPr>
          <w:rFonts w:ascii="Arial" w:hAnsi="Arial"/>
          <w:b w:val="0"/>
          <w:bCs w:val="0"/>
          <w:sz w:val="22"/>
          <w:szCs w:val="22"/>
        </w:rPr>
        <w:t xml:space="preserve"> diagnosis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 xml:space="preserve"> were higher in IBD patients than in non-IBD control patients (n = 299). Mixing sera from these IBD patients with IFX resulted in formation of IFX</w:t>
      </w:r>
      <w:r w:rsidR="00731F84" w:rsidRPr="00507928">
        <w:rPr>
          <w:rFonts w:ascii="Arial" w:hAnsi="Arial"/>
          <w:sz w:val="22"/>
          <w:szCs w:val="22"/>
          <w:lang w:val="en-GB"/>
        </w:rPr>
        <w:sym w:font="Symbol" w:char="F02D"/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 xml:space="preserve">antibodies immune complexes. Similarly, affinity-purified human anti-Neu5Gc IgG also formed complexes with IFX, highlighting Neu5Gc as </w:t>
      </w:r>
      <w:r w:rsidR="00D53279">
        <w:rPr>
          <w:rFonts w:ascii="Arial" w:hAnsi="Arial"/>
          <w:b w:val="0"/>
          <w:bCs w:val="0"/>
          <w:sz w:val="22"/>
          <w:szCs w:val="22"/>
        </w:rPr>
        <w:t xml:space="preserve">a 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>key component of the IFX</w:t>
      </w:r>
      <w:r w:rsidR="00731F84" w:rsidRPr="00507928">
        <w:rPr>
          <w:rFonts w:ascii="Arial" w:hAnsi="Arial"/>
          <w:sz w:val="22"/>
          <w:szCs w:val="22"/>
          <w:lang w:val="en-GB"/>
        </w:rPr>
        <w:sym w:font="Symbol" w:char="F02D"/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>antibodies interaction. Longitudinal tracking of these IBD patients under three years of IFX revealed increasing anti-Neu5Gc IgG, IgA, and IgM in patients who initially had low anti-Neu5Gc IgG, suggesting that Neu5Gc</w:t>
      </w:r>
      <w:r w:rsidR="00390233">
        <w:rPr>
          <w:rFonts w:ascii="Arial" w:hAnsi="Arial"/>
          <w:b w:val="0"/>
          <w:bCs w:val="0"/>
          <w:sz w:val="22"/>
          <w:szCs w:val="22"/>
        </w:rPr>
        <w:t xml:space="preserve">-glycosylated 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>IFX may potentially further enhance the immune response against Neu5Gc. In human-like Neu5Gc-deficient mice, anti-Neu5Gc antibodies accelerated</w:t>
      </w:r>
      <w:r w:rsidR="00DE77E5" w:rsidRPr="00DE77E5">
        <w:rPr>
          <w:rFonts w:ascii="Arial" w:hAnsi="Arial"/>
          <w:b w:val="0"/>
          <w:bCs w:val="0"/>
          <w:sz w:val="22"/>
          <w:szCs w:val="22"/>
        </w:rPr>
        <w:t xml:space="preserve"> </w:t>
      </w:r>
      <w:r w:rsidR="00DE77E5" w:rsidRPr="00507928">
        <w:rPr>
          <w:rFonts w:ascii="Arial" w:hAnsi="Arial"/>
          <w:b w:val="0"/>
          <w:bCs w:val="0"/>
          <w:sz w:val="22"/>
          <w:szCs w:val="22"/>
        </w:rPr>
        <w:t>IFX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 xml:space="preserve"> clearance compared to naïve mice lacking these antibodies. As a potential solution, we glycoengineered </w:t>
      </w:r>
      <w:r w:rsidR="00DE77E5">
        <w:rPr>
          <w:rFonts w:ascii="Arial" w:hAnsi="Arial"/>
          <w:b w:val="0"/>
          <w:bCs w:val="0"/>
          <w:sz w:val="22"/>
          <w:szCs w:val="22"/>
        </w:rPr>
        <w:t>IFX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 xml:space="preserve"> with </w:t>
      </w:r>
      <w:r w:rsidR="00155C65" w:rsidRPr="00507928">
        <w:rPr>
          <w:rFonts w:ascii="Arial" w:hAnsi="Arial"/>
          <w:b w:val="0"/>
          <w:bCs w:val="0"/>
          <w:i/>
          <w:iCs/>
          <w:sz w:val="22"/>
          <w:szCs w:val="22"/>
        </w:rPr>
        <w:t>N</w:t>
      </w:r>
      <w:r w:rsidR="00155C65" w:rsidRPr="00507928">
        <w:rPr>
          <w:rFonts w:ascii="Arial" w:hAnsi="Arial"/>
          <w:sz w:val="22"/>
          <w:szCs w:val="22"/>
          <w:lang w:val="en-GB"/>
        </w:rPr>
        <w:sym w:font="Symbol" w:char="F02D"/>
      </w:r>
      <w:r w:rsidR="00155C65">
        <w:rPr>
          <w:rFonts w:ascii="Arial" w:hAnsi="Arial"/>
          <w:b w:val="0"/>
          <w:bCs w:val="0"/>
          <w:sz w:val="22"/>
          <w:szCs w:val="22"/>
        </w:rPr>
        <w:t>acetyl</w:t>
      </w:r>
      <w:r w:rsidR="00155C65" w:rsidRPr="00507928">
        <w:rPr>
          <w:rFonts w:ascii="Arial" w:hAnsi="Arial"/>
          <w:b w:val="0"/>
          <w:bCs w:val="0"/>
          <w:sz w:val="22"/>
          <w:szCs w:val="22"/>
        </w:rPr>
        <w:t xml:space="preserve">neuraminic acid </w:t>
      </w:r>
      <w:r w:rsidR="00155C65">
        <w:rPr>
          <w:rFonts w:ascii="Arial" w:hAnsi="Arial"/>
          <w:b w:val="0"/>
          <w:bCs w:val="0"/>
          <w:sz w:val="22"/>
          <w:szCs w:val="22"/>
        </w:rPr>
        <w:t>(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>Neu5Ac</w:t>
      </w:r>
      <w:r w:rsidR="00155C65">
        <w:rPr>
          <w:rFonts w:ascii="Arial" w:hAnsi="Arial"/>
          <w:b w:val="0"/>
          <w:bCs w:val="0"/>
          <w:sz w:val="22"/>
          <w:szCs w:val="22"/>
        </w:rPr>
        <w:t>)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>, the human Sia, instead of Neu5Gc. Neu5Ac-</w:t>
      </w:r>
      <w:r w:rsidR="00DE77E5">
        <w:rPr>
          <w:rFonts w:ascii="Arial" w:hAnsi="Arial"/>
          <w:b w:val="0"/>
          <w:bCs w:val="0"/>
          <w:sz w:val="22"/>
          <w:szCs w:val="22"/>
        </w:rPr>
        <w:t>IFX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 xml:space="preserve"> exhibited improved </w:t>
      </w:r>
      <w:r w:rsidR="00155C65">
        <w:rPr>
          <w:rFonts w:ascii="Arial" w:hAnsi="Arial"/>
          <w:b w:val="0"/>
          <w:bCs w:val="0"/>
          <w:sz w:val="22"/>
          <w:szCs w:val="22"/>
        </w:rPr>
        <w:t xml:space="preserve">serum 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 xml:space="preserve">stability compared to </w:t>
      </w:r>
      <w:r w:rsidR="00DE77E5">
        <w:rPr>
          <w:rFonts w:ascii="Arial" w:hAnsi="Arial"/>
          <w:b w:val="0"/>
          <w:bCs w:val="0"/>
          <w:sz w:val="22"/>
          <w:szCs w:val="22"/>
        </w:rPr>
        <w:t>a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 xml:space="preserve"> non-sialylated counterpart in Neu5Gc-deficient mice</w:t>
      </w:r>
      <w:r w:rsidR="00DE77E5">
        <w:rPr>
          <w:rFonts w:ascii="Arial" w:hAnsi="Arial"/>
          <w:b w:val="0"/>
          <w:bCs w:val="0"/>
          <w:sz w:val="22"/>
          <w:szCs w:val="22"/>
        </w:rPr>
        <w:t xml:space="preserve"> and 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 xml:space="preserve">reduced immune complex formation when mixed with sera from IBD patients, suggesting reduced </w:t>
      </w:r>
      <w:r w:rsidR="000810BC">
        <w:rPr>
          <w:rFonts w:ascii="Arial" w:hAnsi="Arial"/>
          <w:b w:val="0"/>
          <w:bCs w:val="0"/>
          <w:sz w:val="22"/>
          <w:szCs w:val="22"/>
        </w:rPr>
        <w:t xml:space="preserve">drug </w:t>
      </w:r>
      <w:r w:rsidR="00731F84" w:rsidRPr="00507928">
        <w:rPr>
          <w:rFonts w:ascii="Arial" w:hAnsi="Arial"/>
          <w:b w:val="0"/>
          <w:bCs w:val="0"/>
          <w:sz w:val="22"/>
          <w:szCs w:val="22"/>
        </w:rPr>
        <w:t>immunogenicity. Together, we identified Neu5Gc as a critical factor shaping the immunogenicity, clearance, and potentially therapeutic efficacy of anti-TNFα antibodies in IBD. We suggest optimal glycoengineering of biotherapeutics, with Neu5Ac instead of Neu5Gc, to reduce immunogenicity without compromising drug stability, potentially improving the efficacy in IBD patients.</w:t>
      </w:r>
    </w:p>
    <w:sectPr w:rsidR="00307CFA" w:rsidSect="00BA76B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D4E82"/>
    <w:multiLevelType w:val="multilevel"/>
    <w:tmpl w:val="10F4D93C"/>
    <w:lvl w:ilvl="0">
      <w:start w:val="1"/>
      <w:numFmt w:val="decimal"/>
      <w:pStyle w:val="SY1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pStyle w:val="SY2"/>
      <w:lvlText w:val="%1.%2."/>
      <w:lvlJc w:val="left"/>
      <w:pPr>
        <w:ind w:left="864" w:hanging="864"/>
      </w:pPr>
      <w:rPr>
        <w:rFonts w:cs="Times New Roman" w:hint="default"/>
        <w:b/>
        <w:bCs/>
      </w:rPr>
    </w:lvl>
    <w:lvl w:ilvl="2">
      <w:start w:val="1"/>
      <w:numFmt w:val="decimal"/>
      <w:pStyle w:val="SY3"/>
      <w:lvlText w:val="%1.%2.%3."/>
      <w:lvlJc w:val="left"/>
      <w:pPr>
        <w:ind w:left="864" w:hanging="86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cs="Times New Roman" w:hint="default"/>
      </w:rPr>
    </w:lvl>
  </w:abstractNum>
  <w:num w:numId="1" w16cid:durableId="1721201393">
    <w:abstractNumId w:val="0"/>
  </w:num>
  <w:num w:numId="2" w16cid:durableId="365761236">
    <w:abstractNumId w:val="0"/>
  </w:num>
  <w:num w:numId="3" w16cid:durableId="1820072936">
    <w:abstractNumId w:val="0"/>
  </w:num>
  <w:num w:numId="4" w16cid:durableId="1541891583">
    <w:abstractNumId w:val="0"/>
  </w:num>
  <w:num w:numId="5" w16cid:durableId="2032097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AA0"/>
    <w:rsid w:val="0000057D"/>
    <w:rsid w:val="0000516B"/>
    <w:rsid w:val="00021107"/>
    <w:rsid w:val="00051D04"/>
    <w:rsid w:val="000810BC"/>
    <w:rsid w:val="00084D89"/>
    <w:rsid w:val="000D534B"/>
    <w:rsid w:val="00116D82"/>
    <w:rsid w:val="00155C65"/>
    <w:rsid w:val="002379EC"/>
    <w:rsid w:val="00277A9D"/>
    <w:rsid w:val="002D52C8"/>
    <w:rsid w:val="00306A6F"/>
    <w:rsid w:val="00307CFA"/>
    <w:rsid w:val="00390233"/>
    <w:rsid w:val="003C7B14"/>
    <w:rsid w:val="00466970"/>
    <w:rsid w:val="0048553F"/>
    <w:rsid w:val="004C156B"/>
    <w:rsid w:val="00511E85"/>
    <w:rsid w:val="00557D13"/>
    <w:rsid w:val="00706D0F"/>
    <w:rsid w:val="00715BE8"/>
    <w:rsid w:val="00730D7D"/>
    <w:rsid w:val="00731F84"/>
    <w:rsid w:val="0073670F"/>
    <w:rsid w:val="007462B6"/>
    <w:rsid w:val="00776638"/>
    <w:rsid w:val="0078103F"/>
    <w:rsid w:val="00807882"/>
    <w:rsid w:val="0082000D"/>
    <w:rsid w:val="00824547"/>
    <w:rsid w:val="00833D22"/>
    <w:rsid w:val="00834EC2"/>
    <w:rsid w:val="00845637"/>
    <w:rsid w:val="008A0C53"/>
    <w:rsid w:val="009459B6"/>
    <w:rsid w:val="009508D3"/>
    <w:rsid w:val="00957554"/>
    <w:rsid w:val="009B27ED"/>
    <w:rsid w:val="009D7344"/>
    <w:rsid w:val="009F4A18"/>
    <w:rsid w:val="00A466E6"/>
    <w:rsid w:val="00AA32B9"/>
    <w:rsid w:val="00AB66DC"/>
    <w:rsid w:val="00B37AA0"/>
    <w:rsid w:val="00B40615"/>
    <w:rsid w:val="00BA0F77"/>
    <w:rsid w:val="00BA76B7"/>
    <w:rsid w:val="00BB135F"/>
    <w:rsid w:val="00C1207D"/>
    <w:rsid w:val="00CD2C2E"/>
    <w:rsid w:val="00CF6CEA"/>
    <w:rsid w:val="00D53279"/>
    <w:rsid w:val="00DC5621"/>
    <w:rsid w:val="00DE77E5"/>
    <w:rsid w:val="00F24FDD"/>
    <w:rsid w:val="00F63B96"/>
    <w:rsid w:val="00F65DED"/>
    <w:rsid w:val="00FC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F7946"/>
  <w15:chartTrackingRefBased/>
  <w15:docId w15:val="{025088B8-FFB5-47A0-9109-2055039C8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AA0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7A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A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A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A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A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A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A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A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A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A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A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A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A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A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A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A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A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A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A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A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A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A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A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A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A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A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A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AA0"/>
    <w:rPr>
      <w:b/>
      <w:bCs/>
      <w:smallCaps/>
      <w:color w:val="2F5496" w:themeColor="accent1" w:themeShade="BF"/>
      <w:spacing w:val="5"/>
    </w:rPr>
  </w:style>
  <w:style w:type="paragraph" w:customStyle="1" w:styleId="SY1">
    <w:name w:val="SY 1"/>
    <w:basedOn w:val="ListParagraph"/>
    <w:link w:val="SY1Char"/>
    <w:qFormat/>
    <w:rsid w:val="00B37AA0"/>
    <w:pPr>
      <w:numPr>
        <w:numId w:val="1"/>
      </w:numPr>
      <w:spacing w:line="360" w:lineRule="auto"/>
      <w:jc w:val="both"/>
    </w:pPr>
    <w:rPr>
      <w:rFonts w:asciiTheme="minorBidi" w:eastAsia="Times New Roman" w:hAnsiTheme="minorBidi" w:cs="Arial"/>
      <w:b/>
      <w:bCs/>
      <w:sz w:val="32"/>
      <w:szCs w:val="32"/>
      <w14:ligatures w14:val="none"/>
    </w:rPr>
  </w:style>
  <w:style w:type="character" w:customStyle="1" w:styleId="SY1Char">
    <w:name w:val="SY 1 Char"/>
    <w:basedOn w:val="DefaultParagraphFont"/>
    <w:link w:val="SY1"/>
    <w:rsid w:val="00B37AA0"/>
    <w:rPr>
      <w:rFonts w:asciiTheme="minorBidi" w:eastAsia="Times New Roman" w:hAnsiTheme="minorBidi" w:cs="Arial"/>
      <w:b/>
      <w:bCs/>
      <w:sz w:val="32"/>
      <w:szCs w:val="32"/>
      <w14:ligatures w14:val="none"/>
    </w:rPr>
  </w:style>
  <w:style w:type="paragraph" w:customStyle="1" w:styleId="SY2">
    <w:name w:val="SY 2"/>
    <w:basedOn w:val="ListParagraph"/>
    <w:qFormat/>
    <w:rsid w:val="00B37AA0"/>
    <w:pPr>
      <w:numPr>
        <w:ilvl w:val="1"/>
        <w:numId w:val="1"/>
      </w:numPr>
      <w:spacing w:before="160" w:line="360" w:lineRule="auto"/>
      <w:jc w:val="both"/>
    </w:pPr>
    <w:rPr>
      <w:rFonts w:asciiTheme="minorBidi" w:eastAsia="Times New Roman" w:hAnsiTheme="minorBidi" w:cs="Arial"/>
      <w:b/>
      <w:bCs/>
      <w:sz w:val="28"/>
      <w:szCs w:val="28"/>
      <w14:ligatures w14:val="none"/>
    </w:rPr>
  </w:style>
  <w:style w:type="paragraph" w:customStyle="1" w:styleId="SY3">
    <w:name w:val="SY 3"/>
    <w:basedOn w:val="SY2"/>
    <w:link w:val="SY3Char"/>
    <w:qFormat/>
    <w:rsid w:val="00B37AA0"/>
    <w:pPr>
      <w:numPr>
        <w:ilvl w:val="2"/>
      </w:numPr>
    </w:pPr>
    <w:rPr>
      <w:szCs w:val="24"/>
    </w:rPr>
  </w:style>
  <w:style w:type="character" w:customStyle="1" w:styleId="SY3Char">
    <w:name w:val="SY 3 Char"/>
    <w:basedOn w:val="DefaultParagraphFont"/>
    <w:link w:val="SY3"/>
    <w:rsid w:val="00B37AA0"/>
    <w:rPr>
      <w:rFonts w:asciiTheme="minorBidi" w:eastAsia="Times New Roman" w:hAnsiTheme="minorBidi" w:cs="Arial"/>
      <w:b/>
      <w:bCs/>
      <w:sz w:val="28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AFC61-2CA3-4742-8523-1C6B4E420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515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Yehuda</dc:creator>
  <cp:keywords/>
  <dc:description/>
  <cp:lastModifiedBy>Sharon Yehuda</cp:lastModifiedBy>
  <cp:revision>41</cp:revision>
  <cp:lastPrinted>2025-12-08T14:07:00Z</cp:lastPrinted>
  <dcterms:created xsi:type="dcterms:W3CDTF">2025-12-09T09:54:00Z</dcterms:created>
  <dcterms:modified xsi:type="dcterms:W3CDTF">2025-12-09T10:57:00Z</dcterms:modified>
</cp:coreProperties>
</file>