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BF3B8" w14:textId="411C7B07" w:rsidR="008D7A58" w:rsidRPr="009B5750" w:rsidRDefault="002718A3" w:rsidP="009B5750">
      <w:pPr>
        <w:pStyle w:val="NormalWeb"/>
        <w:shd w:val="clear" w:color="auto" w:fill="FFFFFF"/>
        <w:jc w:val="center"/>
        <w:rPr>
          <w:rFonts w:ascii="Arial" w:hAnsi="Arial" w:cs="Arial"/>
          <w:b/>
          <w:bCs/>
          <w:color w:val="000000"/>
          <w:sz w:val="32"/>
          <w:szCs w:val="32"/>
          <w:u w:val="single"/>
        </w:rPr>
      </w:pPr>
      <w:r>
        <w:rPr>
          <w:rFonts w:ascii="Arial" w:hAnsi="Arial" w:cs="Arial"/>
          <w:b/>
          <w:bCs/>
          <w:color w:val="000000"/>
          <w:sz w:val="32"/>
          <w:szCs w:val="32"/>
          <w:u w:val="single"/>
        </w:rPr>
        <w:t xml:space="preserve">Prof. </w:t>
      </w:r>
      <w:r w:rsidRPr="00465496">
        <w:rPr>
          <w:rFonts w:ascii="Arial" w:hAnsi="Arial" w:cs="Arial"/>
          <w:b/>
          <w:bCs/>
          <w:color w:val="000000"/>
          <w:sz w:val="32"/>
          <w:szCs w:val="32"/>
          <w:u w:val="single"/>
        </w:rPr>
        <w:t xml:space="preserve">Itai </w:t>
      </w:r>
      <w:proofErr w:type="spellStart"/>
      <w:r w:rsidRPr="00465496">
        <w:rPr>
          <w:rFonts w:ascii="Arial" w:hAnsi="Arial" w:cs="Arial"/>
          <w:b/>
          <w:bCs/>
          <w:color w:val="000000"/>
          <w:sz w:val="32"/>
          <w:szCs w:val="32"/>
          <w:u w:val="single"/>
        </w:rPr>
        <w:t>Benhar</w:t>
      </w:r>
      <w:r>
        <w:rPr>
          <w:rFonts w:ascii="Arial" w:hAnsi="Arial" w:cs="Arial"/>
          <w:b/>
          <w:bCs/>
          <w:color w:val="000000"/>
          <w:sz w:val="32"/>
          <w:szCs w:val="32"/>
          <w:u w:val="single"/>
        </w:rPr>
        <w:t>’s</w:t>
      </w:r>
      <w:proofErr w:type="spellEnd"/>
      <w:r w:rsidRPr="00465496">
        <w:rPr>
          <w:rFonts w:ascii="Arial" w:hAnsi="Arial" w:cs="Arial"/>
          <w:b/>
          <w:bCs/>
          <w:color w:val="000000"/>
          <w:sz w:val="32"/>
          <w:szCs w:val="32"/>
          <w:u w:val="single"/>
        </w:rPr>
        <w:t xml:space="preserve"> </w:t>
      </w:r>
      <w:r>
        <w:rPr>
          <w:rFonts w:ascii="Arial" w:hAnsi="Arial" w:cs="Arial"/>
          <w:b/>
          <w:bCs/>
          <w:color w:val="000000"/>
          <w:sz w:val="32"/>
          <w:szCs w:val="32"/>
          <w:u w:val="single"/>
        </w:rPr>
        <w:t>r</w:t>
      </w:r>
      <w:r w:rsidRPr="00465496">
        <w:rPr>
          <w:rFonts w:ascii="Arial" w:hAnsi="Arial" w:cs="Arial"/>
          <w:b/>
          <w:bCs/>
          <w:color w:val="000000"/>
          <w:sz w:val="32"/>
          <w:szCs w:val="32"/>
          <w:u w:val="single"/>
        </w:rPr>
        <w:t>esearch</w:t>
      </w:r>
      <w:r>
        <w:rPr>
          <w:rFonts w:ascii="Arial" w:hAnsi="Arial" w:cs="Arial"/>
          <w:b/>
          <w:bCs/>
          <w:color w:val="000000"/>
          <w:sz w:val="32"/>
          <w:szCs w:val="32"/>
          <w:u w:val="single"/>
        </w:rPr>
        <w:t xml:space="preserve"> activities (update November 2017)</w:t>
      </w:r>
    </w:p>
    <w:p w14:paraId="79158EDB" w14:textId="77777777" w:rsidR="002718A3" w:rsidRPr="009B5750" w:rsidRDefault="002718A3">
      <w:pPr>
        <w:rPr>
          <w:rFonts w:asciiTheme="minorBidi" w:hAnsiTheme="minorBidi"/>
          <w:b/>
          <w:bCs/>
        </w:rPr>
      </w:pPr>
      <w:r w:rsidRPr="001A1CBF">
        <w:rPr>
          <w:rFonts w:asciiTheme="minorBidi" w:hAnsiTheme="minorBidi"/>
          <w:b/>
          <w:bCs/>
        </w:rPr>
        <w:t xml:space="preserve">1) </w:t>
      </w:r>
      <w:r w:rsidRPr="009B5750">
        <w:rPr>
          <w:rFonts w:asciiTheme="minorBidi" w:hAnsiTheme="minorBidi"/>
          <w:b/>
          <w:bCs/>
        </w:rPr>
        <w:t>Study of design principles for</w:t>
      </w:r>
      <w:r w:rsidRPr="001A1CBF">
        <w:rPr>
          <w:rFonts w:asciiTheme="minorBidi" w:hAnsiTheme="minorBidi"/>
          <w:b/>
          <w:bCs/>
        </w:rPr>
        <w:t xml:space="preserve"> bispecific antibodies </w:t>
      </w:r>
      <w:r w:rsidRPr="009B5750">
        <w:rPr>
          <w:rFonts w:asciiTheme="minorBidi" w:hAnsiTheme="minorBidi"/>
          <w:b/>
          <w:bCs/>
        </w:rPr>
        <w:t xml:space="preserve">their application to develop </w:t>
      </w:r>
      <w:r w:rsidRPr="001A1CBF">
        <w:rPr>
          <w:rFonts w:asciiTheme="minorBidi" w:hAnsiTheme="minorBidi"/>
          <w:b/>
          <w:bCs/>
        </w:rPr>
        <w:t xml:space="preserve">potential </w:t>
      </w:r>
      <w:r w:rsidRPr="009B5750">
        <w:rPr>
          <w:rFonts w:asciiTheme="minorBidi" w:hAnsiTheme="minorBidi"/>
          <w:b/>
          <w:bCs/>
        </w:rPr>
        <w:t>therapeutics</w:t>
      </w:r>
      <w:r w:rsidRPr="001A1CBF">
        <w:rPr>
          <w:rFonts w:asciiTheme="minorBidi" w:hAnsiTheme="minorBidi"/>
          <w:b/>
          <w:bCs/>
        </w:rPr>
        <w:t xml:space="preserve">. </w:t>
      </w:r>
    </w:p>
    <w:p w14:paraId="5A18F308" w14:textId="36B21112" w:rsidR="007563E7" w:rsidRPr="007563E7" w:rsidRDefault="007563E7" w:rsidP="007563E7">
      <w:pPr>
        <w:rPr>
          <w:rFonts w:asciiTheme="minorBidi" w:hAnsiTheme="minorBidi"/>
        </w:rPr>
      </w:pPr>
      <w:r w:rsidRPr="007563E7">
        <w:rPr>
          <w:rFonts w:asciiTheme="minorBidi" w:hAnsiTheme="minorBidi"/>
        </w:rPr>
        <w:t>Bispecific antibodies (</w:t>
      </w:r>
      <w:proofErr w:type="spellStart"/>
      <w:r w:rsidRPr="007563E7">
        <w:rPr>
          <w:rFonts w:asciiTheme="minorBidi" w:hAnsiTheme="minorBidi"/>
        </w:rPr>
        <w:t>bsAbs</w:t>
      </w:r>
      <w:proofErr w:type="spellEnd"/>
      <w:r w:rsidRPr="007563E7">
        <w:rPr>
          <w:rFonts w:asciiTheme="minorBidi" w:hAnsiTheme="minorBidi"/>
        </w:rPr>
        <w:t>) are antibodies with two binding sites directed at different antigens, enabling therapeutic strategies not possible with conventional monoclonal antibodies (</w:t>
      </w:r>
      <w:proofErr w:type="spellStart"/>
      <w:r w:rsidRPr="007563E7">
        <w:rPr>
          <w:rFonts w:asciiTheme="minorBidi" w:hAnsiTheme="minorBidi"/>
        </w:rPr>
        <w:t>mAbs</w:t>
      </w:r>
      <w:proofErr w:type="spellEnd"/>
      <w:r w:rsidRPr="007563E7">
        <w:rPr>
          <w:rFonts w:asciiTheme="minorBidi" w:hAnsiTheme="minorBidi"/>
        </w:rPr>
        <w:t xml:space="preserve">). Since bispecific antibodies are regarded as promising therapeutic agents, several bispecific design modalities have been evaluated, but as most of them are small recombinant fragments, their utility is limited. In a nutshell, the </w:t>
      </w:r>
      <w:r w:rsidR="00E761F5">
        <w:rPr>
          <w:rFonts w:asciiTheme="minorBidi" w:hAnsiTheme="minorBidi"/>
        </w:rPr>
        <w:t xml:space="preserve">therapeutic antibody </w:t>
      </w:r>
      <w:r w:rsidRPr="007563E7">
        <w:rPr>
          <w:rFonts w:asciiTheme="minorBidi" w:hAnsiTheme="minorBidi"/>
        </w:rPr>
        <w:t>field prefers IgGs.</w:t>
      </w:r>
    </w:p>
    <w:p w14:paraId="0A304E94" w14:textId="77777777" w:rsidR="007563E7" w:rsidRPr="007563E7" w:rsidRDefault="007563E7" w:rsidP="007563E7">
      <w:pPr>
        <w:rPr>
          <w:rFonts w:asciiTheme="minorBidi" w:hAnsiTheme="minorBidi"/>
        </w:rPr>
      </w:pPr>
      <w:r w:rsidRPr="007563E7">
        <w:rPr>
          <w:rFonts w:asciiTheme="minorBidi" w:hAnsiTheme="minorBidi"/>
        </w:rPr>
        <w:t xml:space="preserve">Two challenges should be met to make bispecific IgGs; one is that each heavy chain will only pair with the heavy chain of the second specificity and that </w:t>
      </w:r>
      <w:proofErr w:type="spellStart"/>
      <w:r w:rsidRPr="007563E7">
        <w:rPr>
          <w:rFonts w:asciiTheme="minorBidi" w:hAnsiTheme="minorBidi"/>
        </w:rPr>
        <w:t>homodimerization</w:t>
      </w:r>
      <w:proofErr w:type="spellEnd"/>
      <w:r w:rsidRPr="007563E7">
        <w:rPr>
          <w:rFonts w:asciiTheme="minorBidi" w:hAnsiTheme="minorBidi"/>
        </w:rPr>
        <w:t xml:space="preserve"> will be prevented. The second is that each heavy chain will only pair with the light chain of its own specificity and not with the light chain of the second specificity. The first solution to the first criterion (knobs into holes, KIH) was presented in 1996 by a group from Genentech. Additional solutions were presented more recently. However, until recently, no solutions for the second criterion that make it possible to produce a bispecific IgG by an expressing cell were suggested.</w:t>
      </w:r>
    </w:p>
    <w:p w14:paraId="7A4340FB" w14:textId="69BDC041" w:rsidR="007563E7" w:rsidRDefault="007563E7" w:rsidP="007F30DB">
      <w:pPr>
        <w:rPr>
          <w:rFonts w:asciiTheme="minorBidi" w:hAnsiTheme="minorBidi"/>
        </w:rPr>
      </w:pPr>
      <w:r w:rsidRPr="007563E7">
        <w:rPr>
          <w:rFonts w:asciiTheme="minorBidi" w:hAnsiTheme="minorBidi"/>
        </w:rPr>
        <w:t xml:space="preserve">We </w:t>
      </w:r>
      <w:r w:rsidR="007F30DB">
        <w:rPr>
          <w:rFonts w:asciiTheme="minorBidi" w:hAnsiTheme="minorBidi"/>
        </w:rPr>
        <w:t>invented</w:t>
      </w:r>
      <w:r w:rsidRPr="007563E7">
        <w:rPr>
          <w:rFonts w:asciiTheme="minorBidi" w:hAnsiTheme="minorBidi"/>
        </w:rPr>
        <w:t xml:space="preserve"> a solution for the second challenge - correct pairing of heavy and light chains of bispecific IgGs; an engineered disulfide bond between the antibodies’ variable domains that asymmetrically replaces the natural disulfide bond between CH1 and CL</w:t>
      </w:r>
      <w:r w:rsidR="009B28DB">
        <w:rPr>
          <w:rFonts w:asciiTheme="minorBidi" w:hAnsiTheme="minorBidi"/>
        </w:rPr>
        <w:t xml:space="preserve"> (</w:t>
      </w:r>
      <w:r w:rsidR="009B28DB" w:rsidRPr="009B28DB">
        <w:rPr>
          <w:rFonts w:asciiTheme="minorBidi" w:hAnsiTheme="minorBidi"/>
          <w:b/>
          <w:bCs/>
        </w:rPr>
        <w:t>Fig. 1</w:t>
      </w:r>
      <w:r w:rsidR="009B28DB">
        <w:rPr>
          <w:rFonts w:asciiTheme="minorBidi" w:hAnsiTheme="minorBidi"/>
        </w:rPr>
        <w:t>)</w:t>
      </w:r>
      <w:r w:rsidRPr="007563E7">
        <w:rPr>
          <w:rFonts w:asciiTheme="minorBidi" w:hAnsiTheme="minorBidi"/>
        </w:rPr>
        <w:t xml:space="preserve">. Bispecific IgGs where the artificial disulfide bond is placed in the CH1-CL interface </w:t>
      </w:r>
      <w:r w:rsidR="007F30DB">
        <w:rPr>
          <w:rFonts w:asciiTheme="minorBidi" w:hAnsiTheme="minorBidi"/>
        </w:rPr>
        <w:t>were</w:t>
      </w:r>
      <w:r w:rsidRPr="007563E7">
        <w:rPr>
          <w:rFonts w:asciiTheme="minorBidi" w:hAnsiTheme="minorBidi"/>
        </w:rPr>
        <w:t xml:space="preserve"> also </w:t>
      </w:r>
      <w:r w:rsidR="009B28DB">
        <w:rPr>
          <w:rFonts w:asciiTheme="minorBidi" w:hAnsiTheme="minorBidi"/>
        </w:rPr>
        <w:t>evaluated</w:t>
      </w:r>
      <w:r w:rsidRPr="007563E7">
        <w:rPr>
          <w:rFonts w:asciiTheme="minorBidi" w:hAnsiTheme="minorBidi"/>
        </w:rPr>
        <w:t xml:space="preserve">. A novel approach for precise evaluation of correct chain pairing by LC-MC-MS combined with chemical crosslinking </w:t>
      </w:r>
      <w:r w:rsidR="007F30DB">
        <w:rPr>
          <w:rFonts w:asciiTheme="minorBidi" w:hAnsiTheme="minorBidi"/>
        </w:rPr>
        <w:t xml:space="preserve">was </w:t>
      </w:r>
      <w:r w:rsidR="009B28DB">
        <w:rPr>
          <w:rFonts w:asciiTheme="minorBidi" w:hAnsiTheme="minorBidi"/>
        </w:rPr>
        <w:t>tested with limited effectivity</w:t>
      </w:r>
      <w:r w:rsidRPr="007563E7">
        <w:rPr>
          <w:rFonts w:asciiTheme="minorBidi" w:hAnsiTheme="minorBidi"/>
        </w:rPr>
        <w:t xml:space="preserve">. Examples will be provided for </w:t>
      </w:r>
      <w:r w:rsidR="007F30DB">
        <w:rPr>
          <w:rFonts w:asciiTheme="minorBidi" w:hAnsiTheme="minorBidi"/>
        </w:rPr>
        <w:t>future applications</w:t>
      </w:r>
      <w:r w:rsidRPr="007563E7">
        <w:rPr>
          <w:rFonts w:asciiTheme="minorBidi" w:hAnsiTheme="minorBidi"/>
        </w:rPr>
        <w:t xml:space="preserve"> of </w:t>
      </w:r>
      <w:r w:rsidR="007F30DB">
        <w:rPr>
          <w:rFonts w:asciiTheme="minorBidi" w:hAnsiTheme="minorBidi"/>
        </w:rPr>
        <w:t>such</w:t>
      </w:r>
      <w:r w:rsidRPr="007563E7">
        <w:rPr>
          <w:rFonts w:asciiTheme="minorBidi" w:hAnsiTheme="minorBidi"/>
        </w:rPr>
        <w:t xml:space="preserve"> </w:t>
      </w:r>
      <w:proofErr w:type="spellStart"/>
      <w:r w:rsidRPr="007563E7">
        <w:rPr>
          <w:rFonts w:asciiTheme="minorBidi" w:hAnsiTheme="minorBidi"/>
        </w:rPr>
        <w:t>bsAbs</w:t>
      </w:r>
      <w:proofErr w:type="spellEnd"/>
      <w:r w:rsidRPr="007563E7">
        <w:rPr>
          <w:rFonts w:asciiTheme="minorBidi" w:hAnsiTheme="minorBidi"/>
        </w:rPr>
        <w:t>.</w:t>
      </w:r>
    </w:p>
    <w:p w14:paraId="36DF26D8" w14:textId="46AC0610" w:rsidR="002718A3" w:rsidRDefault="00CE7B2F" w:rsidP="00CE7B2F">
      <w:pPr>
        <w:rPr>
          <w:rFonts w:asciiTheme="minorBidi" w:hAnsiTheme="minorBidi"/>
        </w:rPr>
      </w:pPr>
      <w:r w:rsidRPr="00CE7B2F">
        <w:rPr>
          <w:rFonts w:asciiTheme="minorBidi" w:hAnsiTheme="minorBidi"/>
        </w:rPr>
        <w:drawing>
          <wp:inline distT="0" distB="0" distL="0" distR="0" wp14:anchorId="50717CC9" wp14:editId="345837C4">
            <wp:extent cx="4509135" cy="2544759"/>
            <wp:effectExtent l="0" t="0" r="1206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1685" cy="2551842"/>
                    </a:xfrm>
                    <a:prstGeom prst="rect">
                      <a:avLst/>
                    </a:prstGeom>
                  </pic:spPr>
                </pic:pic>
              </a:graphicData>
            </a:graphic>
          </wp:inline>
        </w:drawing>
      </w:r>
    </w:p>
    <w:p w14:paraId="29E20363" w14:textId="3515888D" w:rsidR="002718A3" w:rsidRPr="0058442D" w:rsidRDefault="002718A3">
      <w:pPr>
        <w:rPr>
          <w:rFonts w:asciiTheme="minorBidi" w:hAnsiTheme="minorBidi"/>
          <w:b/>
          <w:bCs/>
        </w:rPr>
      </w:pPr>
      <w:r w:rsidRPr="001A1CBF">
        <w:rPr>
          <w:rFonts w:asciiTheme="minorBidi" w:hAnsiTheme="minorBidi"/>
          <w:b/>
          <w:bCs/>
        </w:rPr>
        <w:lastRenderedPageBreak/>
        <w:t xml:space="preserve">2) </w:t>
      </w:r>
      <w:r w:rsidRPr="0058442D">
        <w:rPr>
          <w:rFonts w:asciiTheme="minorBidi" w:hAnsiTheme="minorBidi"/>
          <w:b/>
          <w:bCs/>
        </w:rPr>
        <w:t>Study of combinations and conjugates of therapeutic monoclonal antibodies with low-molecular-weight heparins for treating inflammatory bowel diseases</w:t>
      </w:r>
      <w:r w:rsidRPr="001A1CBF">
        <w:rPr>
          <w:rFonts w:asciiTheme="minorBidi" w:hAnsiTheme="minorBidi"/>
          <w:b/>
          <w:bCs/>
        </w:rPr>
        <w:t xml:space="preserve">. </w:t>
      </w:r>
    </w:p>
    <w:p w14:paraId="57AC56F5" w14:textId="77777777" w:rsidR="0058442D" w:rsidRPr="0058442D" w:rsidRDefault="0058442D" w:rsidP="0058442D">
      <w:pPr>
        <w:rPr>
          <w:rFonts w:asciiTheme="minorBidi" w:hAnsiTheme="minorBidi"/>
        </w:rPr>
      </w:pPr>
      <w:r w:rsidRPr="0058442D">
        <w:rPr>
          <w:rFonts w:asciiTheme="minorBidi" w:hAnsiTheme="minorBidi"/>
        </w:rPr>
        <w:t>Inflammatory bowel disease (IBD) is a group of chronic inflammatory disorders, including ulcerative colitis (UC) and Crohn’s disease (CD), which affects about 0.5% of the Western population, 0.03% in China, with steadily rising incidence. While treatments for IBD have been extensively studied for more than 40 years in animal models and in humans, treatment options remain disappointingly non-specific and are associated with multiple adverse effects. IBD patients are initially treated with corticosteroids and anti-inflammatory drugs, and, when these fail, are offered biological treatments such as monoclonal antibodies, in particular anti-TNF-α and anti-α</w:t>
      </w:r>
      <w:bookmarkStart w:id="0" w:name="OLE_LINK5"/>
      <w:bookmarkStart w:id="1" w:name="OLE_LINK6"/>
      <w:r w:rsidRPr="0058442D">
        <w:rPr>
          <w:rFonts w:asciiTheme="minorBidi" w:hAnsiTheme="minorBidi"/>
          <w:vertAlign w:val="subscript"/>
        </w:rPr>
        <w:t>4</w:t>
      </w:r>
      <w:bookmarkEnd w:id="0"/>
      <w:bookmarkEnd w:id="1"/>
      <w:r w:rsidRPr="0058442D">
        <w:rPr>
          <w:rFonts w:asciiTheme="minorBidi" w:hAnsiTheme="minorBidi"/>
        </w:rPr>
        <w:t>β</w:t>
      </w:r>
      <w:r w:rsidRPr="0058442D">
        <w:rPr>
          <w:rFonts w:asciiTheme="minorBidi" w:hAnsiTheme="minorBidi"/>
          <w:vertAlign w:val="subscript"/>
        </w:rPr>
        <w:t>7</w:t>
      </w:r>
      <w:r w:rsidRPr="0058442D">
        <w:rPr>
          <w:rFonts w:asciiTheme="minorBidi" w:hAnsiTheme="minorBidi"/>
        </w:rPr>
        <w:t xml:space="preserve"> integrin antibodies.</w:t>
      </w:r>
    </w:p>
    <w:p w14:paraId="0990D72A" w14:textId="77777777" w:rsidR="0058442D" w:rsidRPr="0058442D" w:rsidRDefault="0058442D" w:rsidP="0058442D">
      <w:pPr>
        <w:rPr>
          <w:rFonts w:asciiTheme="minorBidi" w:hAnsiTheme="minorBidi"/>
        </w:rPr>
      </w:pPr>
      <w:r w:rsidRPr="0058442D">
        <w:rPr>
          <w:rFonts w:asciiTheme="minorBidi" w:hAnsiTheme="minorBidi"/>
        </w:rPr>
        <w:tab/>
        <w:t>Options for treating UC with heparin, in particular low-molecular-weight heparins (LMWHs) have been explored for nearly 30 years. LMWHs have been tested for treating UC by IV or SC injections or by oral delivery and it seems that the oral route is more efficacious. This does not seem to result from the lumen being the site of action of LMWH, but rather due to better penetration into the inflamed tissue than upon systemic delivery. Still, it is controversial whether LMWHs are indeed beneficial for treating UC patients. The molecular weight and structure of LMWHs and their administration route appear to be the most important factors that influence efficacy of LMWH.</w:t>
      </w:r>
    </w:p>
    <w:p w14:paraId="0A2AB22B" w14:textId="51E68ADF" w:rsidR="002718A3" w:rsidRDefault="0058442D" w:rsidP="00AB1B7F">
      <w:pPr>
        <w:rPr>
          <w:rFonts w:asciiTheme="minorBidi" w:hAnsiTheme="minorBidi"/>
        </w:rPr>
      </w:pPr>
      <w:r w:rsidRPr="0058442D">
        <w:rPr>
          <w:rFonts w:asciiTheme="minorBidi" w:hAnsiTheme="minorBidi"/>
        </w:rPr>
        <w:tab/>
      </w:r>
      <w:r w:rsidR="00027E38">
        <w:rPr>
          <w:rFonts w:asciiTheme="minorBidi" w:hAnsiTheme="minorBidi"/>
        </w:rPr>
        <w:t>In collaboration with the group of Prof. Xin</w:t>
      </w:r>
      <w:r w:rsidR="00AB1B7F">
        <w:rPr>
          <w:rFonts w:asciiTheme="minorBidi" w:hAnsiTheme="minorBidi"/>
        </w:rPr>
        <w:t>-H</w:t>
      </w:r>
      <w:r w:rsidR="00027E38">
        <w:rPr>
          <w:rFonts w:asciiTheme="minorBidi" w:hAnsiTheme="minorBidi"/>
        </w:rPr>
        <w:t>ui Xing from Tsinghua University, Beijing, China, w</w:t>
      </w:r>
      <w:r w:rsidRPr="0058442D">
        <w:rPr>
          <w:rFonts w:asciiTheme="minorBidi" w:hAnsiTheme="minorBidi"/>
        </w:rPr>
        <w:t xml:space="preserve">e </w:t>
      </w:r>
      <w:r w:rsidR="00027E38">
        <w:rPr>
          <w:rFonts w:asciiTheme="minorBidi" w:hAnsiTheme="minorBidi"/>
        </w:rPr>
        <w:t>are</w:t>
      </w:r>
      <w:r w:rsidRPr="0058442D">
        <w:rPr>
          <w:rFonts w:asciiTheme="minorBidi" w:hAnsiTheme="minorBidi"/>
        </w:rPr>
        <w:t xml:space="preserve"> evaluat</w:t>
      </w:r>
      <w:r w:rsidR="00027E38">
        <w:rPr>
          <w:rFonts w:asciiTheme="minorBidi" w:hAnsiTheme="minorBidi"/>
        </w:rPr>
        <w:t>ing</w:t>
      </w:r>
      <w:r w:rsidRPr="0058442D">
        <w:rPr>
          <w:rFonts w:asciiTheme="minorBidi" w:hAnsiTheme="minorBidi"/>
        </w:rPr>
        <w:t xml:space="preserve"> a new approach for treating UC using a DSS-colitis mouse model. First, based on controllable production of LMWHs by enzymatically depolymerized followed by chemical modification (the preparation of which is an expertise of the Chinese group), the efficacy of LMWHs with different molecular weight and structure will be determined. Secondly, antibody-LMWH conjugates will be prepared through chemical conjugation of LMWHs at varying conjugation levels to anti mouse TNF-α and </w:t>
      </w:r>
      <w:r w:rsidR="006F3BF3" w:rsidRPr="0058442D">
        <w:rPr>
          <w:rFonts w:asciiTheme="minorBidi" w:hAnsiTheme="minorBidi"/>
        </w:rPr>
        <w:t>anti-mouse</w:t>
      </w:r>
      <w:r w:rsidRPr="0058442D">
        <w:rPr>
          <w:rFonts w:asciiTheme="minorBidi" w:hAnsiTheme="minorBidi"/>
        </w:rPr>
        <w:t xml:space="preserve"> α</w:t>
      </w:r>
      <w:r w:rsidRPr="0058442D">
        <w:rPr>
          <w:rFonts w:asciiTheme="minorBidi" w:hAnsiTheme="minorBidi"/>
          <w:vertAlign w:val="subscript"/>
        </w:rPr>
        <w:t>4</w:t>
      </w:r>
      <w:r w:rsidRPr="0058442D">
        <w:rPr>
          <w:rFonts w:asciiTheme="minorBidi" w:hAnsiTheme="minorBidi"/>
        </w:rPr>
        <w:t>β</w:t>
      </w:r>
      <w:r w:rsidRPr="0058442D">
        <w:rPr>
          <w:rFonts w:asciiTheme="minorBidi" w:hAnsiTheme="minorBidi"/>
          <w:vertAlign w:val="subscript"/>
        </w:rPr>
        <w:t>7</w:t>
      </w:r>
      <w:r w:rsidRPr="0058442D">
        <w:rPr>
          <w:rFonts w:asciiTheme="minorBidi" w:hAnsiTheme="minorBidi"/>
        </w:rPr>
        <w:t xml:space="preserve"> integrin antibodies, and bispecific antibodies will be constructed that target both TNF-α and α</w:t>
      </w:r>
      <w:r w:rsidRPr="0058442D">
        <w:rPr>
          <w:rFonts w:asciiTheme="minorBidi" w:hAnsiTheme="minorBidi"/>
          <w:vertAlign w:val="subscript"/>
        </w:rPr>
        <w:t>4</w:t>
      </w:r>
      <w:r w:rsidRPr="0058442D">
        <w:rPr>
          <w:rFonts w:asciiTheme="minorBidi" w:hAnsiTheme="minorBidi"/>
        </w:rPr>
        <w:t>β</w:t>
      </w:r>
      <w:r w:rsidRPr="0058442D">
        <w:rPr>
          <w:rFonts w:asciiTheme="minorBidi" w:hAnsiTheme="minorBidi"/>
          <w:vertAlign w:val="subscript"/>
        </w:rPr>
        <w:t>7</w:t>
      </w:r>
      <w:r w:rsidRPr="0058442D">
        <w:rPr>
          <w:rFonts w:asciiTheme="minorBidi" w:hAnsiTheme="minorBidi"/>
        </w:rPr>
        <w:t xml:space="preserve"> integrin (antibody engineering is the expertise of the Israeli group). The conjugates will be delivered systemically and compared to unconjugated antibodies, to unconjugated LMWHs and to mixtures thereof. Conjugation is expected to modulate the pharmacokinetic and immunogenic behavior of </w:t>
      </w:r>
      <w:r w:rsidRPr="0058442D">
        <w:rPr>
          <w:rFonts w:asciiTheme="minorBidi" w:hAnsiTheme="minorBidi"/>
          <w:b/>
          <w:bCs/>
        </w:rPr>
        <w:t>both</w:t>
      </w:r>
      <w:r w:rsidRPr="0058442D">
        <w:rPr>
          <w:rFonts w:asciiTheme="minorBidi" w:hAnsiTheme="minorBidi"/>
        </w:rPr>
        <w:t xml:space="preserve"> LMWHs and antibodies as well as their efficacy. An important question of our research is whether systemically administered antibody-LMWH conjugates act as a “targeted delivery system” for LMWH, resulting in better accessibility of LMWH to the site of inflammation than LMWH given orally. </w:t>
      </w:r>
      <w:r w:rsidR="005207C6">
        <w:rPr>
          <w:rFonts w:asciiTheme="minorBidi" w:hAnsiTheme="minorBidi"/>
        </w:rPr>
        <w:t>hope</w:t>
      </w:r>
      <w:r w:rsidRPr="0058442D">
        <w:rPr>
          <w:rFonts w:asciiTheme="minorBidi" w:hAnsiTheme="minorBidi"/>
        </w:rPr>
        <w:t xml:space="preserve"> that this joint </w:t>
      </w:r>
      <w:r w:rsidR="005207C6">
        <w:rPr>
          <w:rFonts w:asciiTheme="minorBidi" w:hAnsiTheme="minorBidi"/>
        </w:rPr>
        <w:t>study</w:t>
      </w:r>
      <w:r w:rsidRPr="0058442D">
        <w:rPr>
          <w:rFonts w:asciiTheme="minorBidi" w:hAnsiTheme="minorBidi"/>
        </w:rPr>
        <w:t xml:space="preserve"> will have high originality and successful completion of the proposed research will contribute significantly to the scientific community and to the field of targeted drug delivery for IBD.</w:t>
      </w:r>
    </w:p>
    <w:p w14:paraId="72462FCA" w14:textId="0D11A903" w:rsidR="00821F9D" w:rsidRDefault="00E56C74" w:rsidP="00C10400">
      <w:pPr>
        <w:rPr>
          <w:rFonts w:asciiTheme="minorBidi" w:hAnsiTheme="minorBidi"/>
        </w:rPr>
      </w:pPr>
      <w:r>
        <w:rPr>
          <w:rFonts w:asciiTheme="minorBidi" w:hAnsiTheme="minorBidi"/>
        </w:rPr>
        <w:t xml:space="preserve">An additional activity related to challenges in treating IBD is that </w:t>
      </w:r>
      <w:r w:rsidR="00B84834">
        <w:rPr>
          <w:rFonts w:asciiTheme="minorBidi" w:hAnsiTheme="minorBidi"/>
        </w:rPr>
        <w:t>patients</w:t>
      </w:r>
      <w:r w:rsidR="00821F9D">
        <w:rPr>
          <w:rFonts w:asciiTheme="minorBidi" w:hAnsiTheme="minorBidi"/>
        </w:rPr>
        <w:t xml:space="preserve"> that are treated with biologics (mostly </w:t>
      </w:r>
      <w:proofErr w:type="spellStart"/>
      <w:r w:rsidR="00821F9D">
        <w:rPr>
          <w:rFonts w:asciiTheme="minorBidi" w:hAnsiTheme="minorBidi"/>
        </w:rPr>
        <w:t>mAbs</w:t>
      </w:r>
      <w:proofErr w:type="spellEnd"/>
      <w:r w:rsidR="00821F9D">
        <w:rPr>
          <w:rFonts w:asciiTheme="minorBidi" w:hAnsiTheme="minorBidi"/>
        </w:rPr>
        <w:t xml:space="preserve">) develop neutralizing antibodies against the drug with high frequency. </w:t>
      </w:r>
      <w:r w:rsidR="00821F9D" w:rsidRPr="00821F9D">
        <w:rPr>
          <w:rFonts w:asciiTheme="minorBidi" w:hAnsiTheme="minorBidi"/>
        </w:rPr>
        <w:t>Tumor Necrosis Factor alpha (TNFα) is a pro-inflammatory cytokine produced mainly by activated macrophages and T-lymphocytes. Binding of TNFα to its receptor results in a variety of inflammatory processes. Elevation in TNFα levels is associated with IBD; therefore, anti-TNFα antibodies (such as Infliximab (IFX) and Adalimumab) are offered to patients whose IBD has progressed after conventional therapy.</w:t>
      </w:r>
      <w:r w:rsidR="00C10400">
        <w:rPr>
          <w:rFonts w:asciiTheme="minorBidi" w:hAnsiTheme="minorBidi"/>
        </w:rPr>
        <w:t xml:space="preserve"> </w:t>
      </w:r>
      <w:proofErr w:type="spellStart"/>
      <w:proofErr w:type="gramStart"/>
      <w:r w:rsidR="00821F9D" w:rsidRPr="00821F9D">
        <w:rPr>
          <w:rFonts w:asciiTheme="minorBidi" w:hAnsiTheme="minorBidi"/>
        </w:rPr>
        <w:t>Integrins</w:t>
      </w:r>
      <w:proofErr w:type="spellEnd"/>
      <w:proofErr w:type="gramEnd"/>
      <w:r w:rsidR="00821F9D" w:rsidRPr="00821F9D">
        <w:rPr>
          <w:rFonts w:asciiTheme="minorBidi" w:hAnsiTheme="minorBidi"/>
        </w:rPr>
        <w:t xml:space="preserve"> are transmembrane receptors that mediate cell-cell adhesion. α4β7 and αEβ7 are two </w:t>
      </w:r>
      <w:proofErr w:type="spellStart"/>
      <w:r w:rsidR="00821F9D" w:rsidRPr="00821F9D">
        <w:rPr>
          <w:rFonts w:asciiTheme="minorBidi" w:hAnsiTheme="minorBidi"/>
        </w:rPr>
        <w:t>integrins</w:t>
      </w:r>
      <w:proofErr w:type="spellEnd"/>
      <w:r w:rsidR="00821F9D" w:rsidRPr="00821F9D">
        <w:rPr>
          <w:rFonts w:asciiTheme="minorBidi" w:hAnsiTheme="minorBidi"/>
        </w:rPr>
        <w:t xml:space="preserve"> expressed on gut-associated T-lymphocytes. Upon binding to their </w:t>
      </w:r>
      <w:proofErr w:type="gramStart"/>
      <w:r w:rsidR="00821F9D" w:rsidRPr="00821F9D">
        <w:rPr>
          <w:rFonts w:asciiTheme="minorBidi" w:hAnsiTheme="minorBidi"/>
        </w:rPr>
        <w:lastRenderedPageBreak/>
        <w:t>ligands</w:t>
      </w:r>
      <w:proofErr w:type="gramEnd"/>
      <w:r w:rsidR="00821F9D" w:rsidRPr="00821F9D">
        <w:rPr>
          <w:rFonts w:asciiTheme="minorBidi" w:hAnsiTheme="minorBidi"/>
        </w:rPr>
        <w:t xml:space="preserve"> they mediate recruitment and retention of T-lymphocytes and neutrophils to the inflamed gut. Two anti-integrin therapeutic Abs‒ </w:t>
      </w:r>
      <w:proofErr w:type="spellStart"/>
      <w:r w:rsidR="00821F9D" w:rsidRPr="00821F9D">
        <w:rPr>
          <w:rFonts w:asciiTheme="minorBidi" w:hAnsiTheme="minorBidi"/>
        </w:rPr>
        <w:t>Natalizumab</w:t>
      </w:r>
      <w:proofErr w:type="spellEnd"/>
      <w:r w:rsidR="00821F9D" w:rsidRPr="00821F9D">
        <w:rPr>
          <w:rFonts w:asciiTheme="minorBidi" w:hAnsiTheme="minorBidi"/>
        </w:rPr>
        <w:t xml:space="preserve"> and </w:t>
      </w:r>
      <w:proofErr w:type="spellStart"/>
      <w:r w:rsidR="00821F9D" w:rsidRPr="00821F9D">
        <w:rPr>
          <w:rFonts w:asciiTheme="minorBidi" w:hAnsiTheme="minorBidi"/>
        </w:rPr>
        <w:t>Vedolizumab</w:t>
      </w:r>
      <w:proofErr w:type="spellEnd"/>
      <w:r w:rsidR="00821F9D" w:rsidRPr="00821F9D">
        <w:rPr>
          <w:rFonts w:asciiTheme="minorBidi" w:hAnsiTheme="minorBidi"/>
        </w:rPr>
        <w:t xml:space="preserve"> were recently approved for treating advanced IBD</w:t>
      </w:r>
      <w:r w:rsidR="00C10400">
        <w:rPr>
          <w:rFonts w:asciiTheme="minorBidi" w:hAnsiTheme="minorBidi"/>
        </w:rPr>
        <w:t xml:space="preserve"> (</w:t>
      </w:r>
      <w:r w:rsidR="00C10400" w:rsidRPr="00C10400">
        <w:rPr>
          <w:rFonts w:asciiTheme="minorBidi" w:hAnsiTheme="minorBidi"/>
          <w:b/>
          <w:bCs/>
        </w:rPr>
        <w:t>Fig. 2</w:t>
      </w:r>
      <w:r w:rsidR="00C10400">
        <w:rPr>
          <w:rFonts w:asciiTheme="minorBidi" w:hAnsiTheme="minorBidi"/>
        </w:rPr>
        <w:t>)</w:t>
      </w:r>
      <w:r w:rsidR="00821F9D" w:rsidRPr="00821F9D">
        <w:rPr>
          <w:rFonts w:asciiTheme="minorBidi" w:hAnsiTheme="minorBidi"/>
        </w:rPr>
        <w:t>.</w:t>
      </w:r>
    </w:p>
    <w:p w14:paraId="3B7B9D19" w14:textId="2A3ABD94" w:rsidR="008A5456" w:rsidRPr="00821F9D" w:rsidRDefault="008A5456" w:rsidP="008A5456">
      <w:pPr>
        <w:rPr>
          <w:rFonts w:asciiTheme="minorBidi" w:hAnsiTheme="minorBidi"/>
        </w:rPr>
      </w:pPr>
      <w:r w:rsidRPr="008A5456">
        <w:rPr>
          <w:rFonts w:asciiTheme="minorBidi" w:hAnsiTheme="minorBidi"/>
        </w:rPr>
        <w:drawing>
          <wp:inline distT="0" distB="0" distL="0" distR="0" wp14:anchorId="2A87B361" wp14:editId="32F95732">
            <wp:extent cx="7861300" cy="2743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61300" cy="2743200"/>
                    </a:xfrm>
                    <a:prstGeom prst="rect">
                      <a:avLst/>
                    </a:prstGeom>
                  </pic:spPr>
                </pic:pic>
              </a:graphicData>
            </a:graphic>
          </wp:inline>
        </w:drawing>
      </w:r>
    </w:p>
    <w:p w14:paraId="09A4536B" w14:textId="77777777" w:rsidR="00821F9D" w:rsidRPr="00821F9D" w:rsidRDefault="00821F9D" w:rsidP="00821F9D">
      <w:pPr>
        <w:rPr>
          <w:rFonts w:asciiTheme="minorBidi" w:hAnsiTheme="minorBidi"/>
        </w:rPr>
      </w:pPr>
      <w:r w:rsidRPr="00821F9D">
        <w:rPr>
          <w:rFonts w:asciiTheme="minorBidi" w:hAnsiTheme="minorBidi"/>
        </w:rPr>
        <w:tab/>
        <w:t xml:space="preserve">Anti-drug antibodies (ADAs) may develop against any biologic treatment. A significant portion of patients treated with IFX develop antibodies to Infliximab (ATIs). This leads to </w:t>
      </w:r>
      <w:proofErr w:type="spellStart"/>
      <w:r w:rsidRPr="00821F9D">
        <w:rPr>
          <w:rFonts w:asciiTheme="minorBidi" w:hAnsiTheme="minorBidi"/>
        </w:rPr>
        <w:t>mAb</w:t>
      </w:r>
      <w:proofErr w:type="spellEnd"/>
      <w:r w:rsidRPr="00821F9D">
        <w:rPr>
          <w:rFonts w:asciiTheme="minorBidi" w:hAnsiTheme="minorBidi"/>
        </w:rPr>
        <w:t xml:space="preserve"> treatment losing its effectiveness in such patients, which is a severe clinical challenge. It is not clear why ADAs production is so common in IBD patients and where the </w:t>
      </w:r>
      <w:proofErr w:type="spellStart"/>
      <w:r w:rsidRPr="00821F9D">
        <w:rPr>
          <w:rFonts w:asciiTheme="minorBidi" w:hAnsiTheme="minorBidi"/>
        </w:rPr>
        <w:t>immunodominant</w:t>
      </w:r>
      <w:proofErr w:type="spellEnd"/>
      <w:r w:rsidRPr="00821F9D">
        <w:rPr>
          <w:rFonts w:asciiTheme="minorBidi" w:hAnsiTheme="minorBidi"/>
        </w:rPr>
        <w:t xml:space="preserve"> epitopes of the therapeutic </w:t>
      </w:r>
      <w:proofErr w:type="spellStart"/>
      <w:r w:rsidRPr="00821F9D">
        <w:rPr>
          <w:rFonts w:asciiTheme="minorBidi" w:hAnsiTheme="minorBidi"/>
        </w:rPr>
        <w:t>mAbs</w:t>
      </w:r>
      <w:proofErr w:type="spellEnd"/>
      <w:r w:rsidRPr="00821F9D">
        <w:rPr>
          <w:rFonts w:asciiTheme="minorBidi" w:hAnsiTheme="minorBidi"/>
        </w:rPr>
        <w:t xml:space="preserve"> are located. </w:t>
      </w:r>
    </w:p>
    <w:p w14:paraId="0020ED3E" w14:textId="4509DAFB" w:rsidR="00821F9D" w:rsidRPr="00821F9D" w:rsidRDefault="00821F9D" w:rsidP="00C10400">
      <w:pPr>
        <w:rPr>
          <w:rFonts w:asciiTheme="minorBidi" w:hAnsiTheme="minorBidi"/>
        </w:rPr>
      </w:pPr>
      <w:r w:rsidRPr="00821F9D">
        <w:rPr>
          <w:rFonts w:asciiTheme="minorBidi" w:hAnsiTheme="minorBidi"/>
        </w:rPr>
        <w:tab/>
      </w:r>
      <w:r w:rsidR="00C10400">
        <w:rPr>
          <w:rFonts w:asciiTheme="minorBidi" w:hAnsiTheme="minorBidi"/>
        </w:rPr>
        <w:t xml:space="preserve">We are </w:t>
      </w:r>
      <w:r w:rsidRPr="00821F9D">
        <w:rPr>
          <w:rFonts w:asciiTheme="minorBidi" w:hAnsiTheme="minorBidi"/>
        </w:rPr>
        <w:t>tr</w:t>
      </w:r>
      <w:r w:rsidR="00C10400">
        <w:rPr>
          <w:rFonts w:asciiTheme="minorBidi" w:hAnsiTheme="minorBidi"/>
        </w:rPr>
        <w:t>ying</w:t>
      </w:r>
      <w:r w:rsidRPr="00821F9D">
        <w:rPr>
          <w:rFonts w:asciiTheme="minorBidi" w:hAnsiTheme="minorBidi"/>
        </w:rPr>
        <w:t xml:space="preserve"> to understand and to reduce the antigenicity of anti-TNF</w:t>
      </w:r>
      <w:r w:rsidRPr="00821F9D">
        <w:rPr>
          <w:rFonts w:asciiTheme="minorBidi" w:hAnsiTheme="minorBidi"/>
          <w:lang w:val="el-GR"/>
        </w:rPr>
        <w:t>α</w:t>
      </w:r>
      <w:r w:rsidRPr="00821F9D">
        <w:rPr>
          <w:rFonts w:asciiTheme="minorBidi" w:hAnsiTheme="minorBidi"/>
        </w:rPr>
        <w:t xml:space="preserve"> Abs, with focus on IFX. In addition, </w:t>
      </w:r>
      <w:r w:rsidR="00C10400">
        <w:rPr>
          <w:rFonts w:asciiTheme="minorBidi" w:hAnsiTheme="minorBidi"/>
        </w:rPr>
        <w:t>we</w:t>
      </w:r>
      <w:r w:rsidRPr="00821F9D">
        <w:rPr>
          <w:rFonts w:asciiTheme="minorBidi" w:hAnsiTheme="minorBidi"/>
        </w:rPr>
        <w:t xml:space="preserve"> plan to evaluate the potential of </w:t>
      </w:r>
      <w:r w:rsidR="00C10400">
        <w:rPr>
          <w:rFonts w:asciiTheme="minorBidi" w:hAnsiTheme="minorBidi"/>
        </w:rPr>
        <w:t>bispecific Ab</w:t>
      </w:r>
      <w:r w:rsidRPr="00821F9D">
        <w:rPr>
          <w:rFonts w:asciiTheme="minorBidi" w:hAnsiTheme="minorBidi"/>
        </w:rPr>
        <w:t>, to increase treatment efficacy</w:t>
      </w:r>
      <w:r w:rsidR="00C10400">
        <w:rPr>
          <w:rFonts w:asciiTheme="minorBidi" w:hAnsiTheme="minorBidi"/>
        </w:rPr>
        <w:t xml:space="preserve"> for IBD</w:t>
      </w:r>
      <w:r w:rsidRPr="00821F9D">
        <w:rPr>
          <w:rFonts w:asciiTheme="minorBidi" w:hAnsiTheme="minorBidi"/>
        </w:rPr>
        <w:t>.</w:t>
      </w:r>
    </w:p>
    <w:p w14:paraId="2D608C10" w14:textId="77777777" w:rsidR="004F4EF6" w:rsidRDefault="004F4EF6" w:rsidP="004F4EF6">
      <w:pPr>
        <w:rPr>
          <w:rFonts w:asciiTheme="minorBidi" w:hAnsiTheme="minorBidi"/>
        </w:rPr>
      </w:pPr>
    </w:p>
    <w:p w14:paraId="2301DB3D" w14:textId="694CACA0" w:rsidR="002718A3" w:rsidRPr="00721172" w:rsidRDefault="002718A3" w:rsidP="00E761F5">
      <w:pPr>
        <w:rPr>
          <w:rFonts w:asciiTheme="minorBidi" w:hAnsiTheme="minorBidi"/>
          <w:b/>
          <w:bCs/>
        </w:rPr>
      </w:pPr>
      <w:r w:rsidRPr="001A1CBF">
        <w:rPr>
          <w:rFonts w:asciiTheme="minorBidi" w:hAnsiTheme="minorBidi"/>
          <w:b/>
          <w:bCs/>
        </w:rPr>
        <w:t xml:space="preserve">3) </w:t>
      </w:r>
      <w:r w:rsidR="00E761F5">
        <w:rPr>
          <w:rFonts w:asciiTheme="minorBidi" w:hAnsiTheme="minorBidi"/>
          <w:b/>
          <w:bCs/>
        </w:rPr>
        <w:t>Studies of t</w:t>
      </w:r>
      <w:r w:rsidRPr="001A1CBF">
        <w:rPr>
          <w:rFonts w:asciiTheme="minorBidi" w:hAnsiTheme="minorBidi"/>
          <w:b/>
          <w:bCs/>
        </w:rPr>
        <w:t xml:space="preserve">argeted drug-carrying nanomedicines </w:t>
      </w:r>
      <w:r w:rsidRPr="00721172">
        <w:rPr>
          <w:rFonts w:asciiTheme="minorBidi" w:hAnsiTheme="minorBidi"/>
          <w:b/>
          <w:bCs/>
        </w:rPr>
        <w:t xml:space="preserve">combined with Medicinal Chemistry approaches </w:t>
      </w:r>
      <w:r w:rsidRPr="001A1CBF">
        <w:rPr>
          <w:rFonts w:asciiTheme="minorBidi" w:hAnsiTheme="minorBidi"/>
          <w:b/>
          <w:bCs/>
        </w:rPr>
        <w:t xml:space="preserve">for </w:t>
      </w:r>
      <w:r w:rsidRPr="00721172">
        <w:rPr>
          <w:rFonts w:asciiTheme="minorBidi" w:hAnsiTheme="minorBidi"/>
          <w:b/>
          <w:bCs/>
        </w:rPr>
        <w:t xml:space="preserve">the </w:t>
      </w:r>
      <w:r w:rsidRPr="001A1CBF">
        <w:rPr>
          <w:rFonts w:asciiTheme="minorBidi" w:hAnsiTheme="minorBidi"/>
          <w:b/>
          <w:bCs/>
        </w:rPr>
        <w:t>eradication of pathogenic fungi</w:t>
      </w:r>
      <w:r w:rsidR="00E761F5">
        <w:rPr>
          <w:rFonts w:asciiTheme="minorBidi" w:hAnsiTheme="minorBidi"/>
          <w:b/>
          <w:bCs/>
        </w:rPr>
        <w:t>, chronic inflammation and cancer</w:t>
      </w:r>
      <w:r w:rsidRPr="001A1CBF">
        <w:rPr>
          <w:rFonts w:asciiTheme="minorBidi" w:hAnsiTheme="minorBidi"/>
          <w:b/>
          <w:bCs/>
        </w:rPr>
        <w:t>.</w:t>
      </w:r>
      <w:r w:rsidRPr="00721172">
        <w:rPr>
          <w:rFonts w:asciiTheme="minorBidi" w:hAnsiTheme="minorBidi"/>
          <w:b/>
          <w:bCs/>
        </w:rPr>
        <w:t xml:space="preserve"> </w:t>
      </w:r>
    </w:p>
    <w:p w14:paraId="7E5AC77F" w14:textId="77777777" w:rsidR="00721172" w:rsidRPr="00721172" w:rsidRDefault="00721172" w:rsidP="00721172">
      <w:pPr>
        <w:rPr>
          <w:rFonts w:asciiTheme="minorBidi" w:hAnsiTheme="minorBidi"/>
        </w:rPr>
      </w:pPr>
      <w:r w:rsidRPr="00721172">
        <w:rPr>
          <w:rFonts w:asciiTheme="minorBidi" w:hAnsiTheme="minorBidi"/>
        </w:rPr>
        <w:t xml:space="preserve">Antibody-based targeted therapy is best known in oncology. In well-known examples such as antibody-drug-conjugates (ADCs), active targeting of the drug results in improved efficacy and reduced off-target toxicity. Active, antibody-based targeting was pursued less frequently as an anti-infectious </w:t>
      </w:r>
      <w:proofErr w:type="gramStart"/>
      <w:r w:rsidRPr="00721172">
        <w:rPr>
          <w:rFonts w:asciiTheme="minorBidi" w:hAnsiTheme="minorBidi"/>
        </w:rPr>
        <w:t>agents</w:t>
      </w:r>
      <w:proofErr w:type="gramEnd"/>
      <w:r w:rsidRPr="00721172">
        <w:rPr>
          <w:rFonts w:asciiTheme="minorBidi" w:hAnsiTheme="minorBidi"/>
        </w:rPr>
        <w:t xml:space="preserve"> approach.</w:t>
      </w:r>
    </w:p>
    <w:p w14:paraId="7BA45C1A" w14:textId="77777777" w:rsidR="00721172" w:rsidRPr="00721172" w:rsidRDefault="00721172" w:rsidP="00721172">
      <w:pPr>
        <w:rPr>
          <w:rFonts w:asciiTheme="minorBidi" w:hAnsiTheme="minorBidi"/>
        </w:rPr>
      </w:pPr>
      <w:r w:rsidRPr="00721172">
        <w:rPr>
          <w:rFonts w:asciiTheme="minorBidi" w:hAnsiTheme="minorBidi"/>
        </w:rPr>
        <w:lastRenderedPageBreak/>
        <w:t xml:space="preserve">Nanomedicines - drugs conjugated or encapsulated in </w:t>
      </w:r>
      <w:proofErr w:type="spellStart"/>
      <w:r w:rsidRPr="00721172">
        <w:rPr>
          <w:rFonts w:asciiTheme="minorBidi" w:hAnsiTheme="minorBidi"/>
        </w:rPr>
        <w:t>nanocarriers</w:t>
      </w:r>
      <w:proofErr w:type="spellEnd"/>
      <w:r w:rsidRPr="00721172">
        <w:rPr>
          <w:rFonts w:asciiTheme="minorBidi" w:hAnsiTheme="minorBidi"/>
        </w:rPr>
        <w:t xml:space="preserve"> can greatly increase their solubility, utility and reduce toxicity. Nanomedicines can be guided by target specific molecules such antibodies. As such they are referred to as “targeted nanomedicines”. </w:t>
      </w:r>
    </w:p>
    <w:p w14:paraId="6B6E5325" w14:textId="67190884" w:rsidR="00721172" w:rsidRDefault="002130A3" w:rsidP="00721172">
      <w:pPr>
        <w:rPr>
          <w:rFonts w:asciiTheme="minorBidi" w:hAnsiTheme="minorBidi"/>
        </w:rPr>
      </w:pPr>
      <w:r>
        <w:rPr>
          <w:rFonts w:asciiTheme="minorBidi" w:hAnsiTheme="minorBidi"/>
        </w:rPr>
        <w:t>W</w:t>
      </w:r>
      <w:r w:rsidR="00721172" w:rsidRPr="00721172">
        <w:rPr>
          <w:rFonts w:asciiTheme="minorBidi" w:hAnsiTheme="minorBidi"/>
        </w:rPr>
        <w:t xml:space="preserve">e </w:t>
      </w:r>
      <w:r>
        <w:rPr>
          <w:rFonts w:asciiTheme="minorBidi" w:hAnsiTheme="minorBidi"/>
        </w:rPr>
        <w:t xml:space="preserve">have been studying </w:t>
      </w:r>
      <w:r w:rsidR="00721172" w:rsidRPr="00721172">
        <w:rPr>
          <w:rFonts w:asciiTheme="minorBidi" w:hAnsiTheme="minorBidi"/>
        </w:rPr>
        <w:t xml:space="preserve">show results of our studies involving the engineering and evaluation of a targeted </w:t>
      </w:r>
      <w:proofErr w:type="spellStart"/>
      <w:r w:rsidR="00721172" w:rsidRPr="00721172">
        <w:rPr>
          <w:rFonts w:asciiTheme="minorBidi" w:hAnsiTheme="minorBidi"/>
        </w:rPr>
        <w:t>nanometric</w:t>
      </w:r>
      <w:proofErr w:type="spellEnd"/>
      <w:r w:rsidR="00721172" w:rsidRPr="00721172">
        <w:rPr>
          <w:rFonts w:asciiTheme="minorBidi" w:hAnsiTheme="minorBidi"/>
        </w:rPr>
        <w:t xml:space="preserve"> scale drug delivery system for anti-bacterial and anti-fungal drugs</w:t>
      </w:r>
      <w:r w:rsidR="0011720C">
        <w:rPr>
          <w:rFonts w:asciiTheme="minorBidi" w:hAnsiTheme="minorBidi"/>
        </w:rPr>
        <w:t xml:space="preserve"> (</w:t>
      </w:r>
      <w:r w:rsidR="0011720C" w:rsidRPr="0011720C">
        <w:rPr>
          <w:rFonts w:asciiTheme="minorBidi" w:hAnsiTheme="minorBidi"/>
          <w:b/>
          <w:bCs/>
        </w:rPr>
        <w:t>Figure 3</w:t>
      </w:r>
      <w:r w:rsidR="0011720C">
        <w:rPr>
          <w:rFonts w:asciiTheme="minorBidi" w:hAnsiTheme="minorBidi"/>
        </w:rPr>
        <w:t>)</w:t>
      </w:r>
      <w:r w:rsidR="00721172" w:rsidRPr="00721172">
        <w:rPr>
          <w:rFonts w:asciiTheme="minorBidi" w:hAnsiTheme="minorBidi"/>
        </w:rPr>
        <w:t>. We begin with a description of early studies where the antibiotic chloramphenicol was used to treat model bacterial pathogens and continue with more recent studies where we synthesized and evaluated water soluble derivatives of Amphotericin B (AMB), a potent but highly toxic anti-fungal drug. We show that in addition to improved solubility, the conjugated drugs are as potent but much less toxic than the free drugs. We further show that when conjugated to antibody-targeted bacteriophage (phage) nanoparticles, these targeted drug-carrying nanomedicines effectively inhibit the growth of the pathogens showing a significant amplification of potency compared to the free drug.</w:t>
      </w:r>
    </w:p>
    <w:p w14:paraId="42A82561" w14:textId="43626569" w:rsidR="00974F10" w:rsidRDefault="00FE79D1" w:rsidP="00FE79D1">
      <w:pPr>
        <w:rPr>
          <w:rFonts w:asciiTheme="minorBidi" w:hAnsiTheme="minorBidi"/>
        </w:rPr>
      </w:pPr>
      <w:r w:rsidRPr="00FE79D1">
        <w:rPr>
          <w:rFonts w:asciiTheme="minorBidi" w:hAnsiTheme="minorBidi"/>
        </w:rPr>
        <w:drawing>
          <wp:inline distT="0" distB="0" distL="0" distR="0" wp14:anchorId="30D936F3" wp14:editId="72E72CF4">
            <wp:extent cx="4792619" cy="4075007"/>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7716" cy="4079341"/>
                    </a:xfrm>
                    <a:prstGeom prst="rect">
                      <a:avLst/>
                    </a:prstGeom>
                  </pic:spPr>
                </pic:pic>
              </a:graphicData>
            </a:graphic>
          </wp:inline>
        </w:drawing>
      </w:r>
    </w:p>
    <w:p w14:paraId="4052DB88" w14:textId="7FD4C622" w:rsidR="0011720C" w:rsidRPr="0011720C" w:rsidRDefault="0011720C" w:rsidP="0011720C">
      <w:pPr>
        <w:rPr>
          <w:rFonts w:asciiTheme="minorBidi" w:hAnsiTheme="minorBidi"/>
        </w:rPr>
      </w:pPr>
      <w:r>
        <w:rPr>
          <w:rFonts w:asciiTheme="minorBidi" w:hAnsiTheme="minorBidi"/>
        </w:rPr>
        <w:lastRenderedPageBreak/>
        <w:t xml:space="preserve">In the process of developing </w:t>
      </w:r>
      <w:r w:rsidR="00890332">
        <w:rPr>
          <w:rFonts w:asciiTheme="minorBidi" w:hAnsiTheme="minorBidi"/>
        </w:rPr>
        <w:t>anti-fungal</w:t>
      </w:r>
      <w:r>
        <w:rPr>
          <w:rFonts w:asciiTheme="minorBidi" w:hAnsiTheme="minorBidi"/>
        </w:rPr>
        <w:t xml:space="preserve"> nanomedicines we had to increase the solubility of AMB to be able to conjugate it to phage nanoparticles. We</w:t>
      </w:r>
      <w:r w:rsidRPr="0011720C">
        <w:rPr>
          <w:rFonts w:asciiTheme="minorBidi" w:hAnsiTheme="minorBidi"/>
        </w:rPr>
        <w:t xml:space="preserve"> prepar</w:t>
      </w:r>
      <w:r>
        <w:rPr>
          <w:rFonts w:asciiTheme="minorBidi" w:hAnsiTheme="minorBidi"/>
        </w:rPr>
        <w:t>ed</w:t>
      </w:r>
      <w:r w:rsidRPr="0011720C">
        <w:rPr>
          <w:rFonts w:asciiTheme="minorBidi" w:hAnsiTheme="minorBidi"/>
        </w:rPr>
        <w:t xml:space="preserve"> and evaluat</w:t>
      </w:r>
      <w:r>
        <w:rPr>
          <w:rFonts w:asciiTheme="minorBidi" w:hAnsiTheme="minorBidi"/>
        </w:rPr>
        <w:t>ed</w:t>
      </w:r>
      <w:r w:rsidRPr="0011720C">
        <w:rPr>
          <w:rFonts w:asciiTheme="minorBidi" w:hAnsiTheme="minorBidi"/>
        </w:rPr>
        <w:t xml:space="preserve"> of two novel PEG amide conjugates of amphotericin, </w:t>
      </w:r>
      <w:r>
        <w:rPr>
          <w:rFonts w:asciiTheme="minorBidi" w:hAnsiTheme="minorBidi"/>
        </w:rPr>
        <w:t xml:space="preserve">that were named </w:t>
      </w:r>
      <w:r w:rsidRPr="0011720C">
        <w:rPr>
          <w:rFonts w:asciiTheme="minorBidi" w:hAnsiTheme="minorBidi"/>
        </w:rPr>
        <w:t>AB1</w:t>
      </w:r>
      <w:r>
        <w:rPr>
          <w:rFonts w:asciiTheme="minorBidi" w:hAnsiTheme="minorBidi"/>
        </w:rPr>
        <w:t xml:space="preserve"> </w:t>
      </w:r>
      <w:r w:rsidRPr="0011720C">
        <w:rPr>
          <w:rFonts w:asciiTheme="minorBidi" w:hAnsiTheme="minorBidi"/>
        </w:rPr>
        <w:t>and AM2 (</w:t>
      </w:r>
      <w:r>
        <w:rPr>
          <w:rFonts w:asciiTheme="minorBidi" w:hAnsiTheme="minorBidi"/>
          <w:b/>
          <w:bCs/>
        </w:rPr>
        <w:t>Figure 4</w:t>
      </w:r>
      <w:r w:rsidRPr="0011720C">
        <w:rPr>
          <w:rFonts w:asciiTheme="minorBidi" w:hAnsiTheme="minorBidi"/>
        </w:rPr>
        <w:t xml:space="preserve">). These compounds are non-labile, they are prepared in only two and three synthetic steps respectively and show antifungal activity against a wide range of clinical fungal isolates. Their toxicity is significantly lower and their water solubility is up to 5000-fold higher than AMB. </w:t>
      </w:r>
      <w:r w:rsidRPr="0011720C">
        <w:rPr>
          <w:rFonts w:asciiTheme="minorBidi" w:hAnsiTheme="minorBidi"/>
          <w:i/>
          <w:iCs/>
        </w:rPr>
        <w:t>In vivo</w:t>
      </w:r>
      <w:r w:rsidRPr="0011720C">
        <w:rPr>
          <w:rFonts w:asciiTheme="minorBidi" w:hAnsiTheme="minorBidi"/>
        </w:rPr>
        <w:t xml:space="preserve"> efficacy studies in a mouse model of systemic candidiasis showed that AM2 successfully cured all the mice at concentrations above 3.5 mg/kg body weight</w:t>
      </w:r>
      <w:r w:rsidRPr="0011720C">
        <w:rPr>
          <w:rFonts w:asciiTheme="minorBidi" w:hAnsiTheme="minorBidi"/>
          <w:bCs/>
        </w:rPr>
        <w:t>. In conclusion, these properties make AB1 and AM2 promising candidates for clinical use.</w:t>
      </w:r>
      <w:r>
        <w:rPr>
          <w:rFonts w:asciiTheme="minorBidi" w:hAnsiTheme="minorBidi"/>
          <w:bCs/>
        </w:rPr>
        <w:t xml:space="preserve"> Currently we are working on their lead optimization and on formulations for non-</w:t>
      </w:r>
      <w:r w:rsidR="00890332">
        <w:rPr>
          <w:rFonts w:asciiTheme="minorBidi" w:hAnsiTheme="minorBidi"/>
          <w:bCs/>
        </w:rPr>
        <w:t>intravenous</w:t>
      </w:r>
      <w:r>
        <w:rPr>
          <w:rFonts w:asciiTheme="minorBidi" w:hAnsiTheme="minorBidi"/>
          <w:bCs/>
        </w:rPr>
        <w:t xml:space="preserve"> delivery.</w:t>
      </w:r>
    </w:p>
    <w:p w14:paraId="5CF6E060" w14:textId="5D206263" w:rsidR="0011720C" w:rsidRDefault="00DE4997" w:rsidP="00DE4997">
      <w:pPr>
        <w:rPr>
          <w:rFonts w:asciiTheme="minorBidi" w:hAnsiTheme="minorBidi"/>
        </w:rPr>
      </w:pPr>
      <w:r w:rsidRPr="00DE4997">
        <w:rPr>
          <w:rFonts w:asciiTheme="minorBidi" w:hAnsiTheme="minorBidi"/>
        </w:rPr>
        <w:drawing>
          <wp:inline distT="0" distB="0" distL="0" distR="0" wp14:anchorId="3E6B6574" wp14:editId="54EA3633">
            <wp:extent cx="5880735" cy="4142184"/>
            <wp:effectExtent l="0" t="0" r="1206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506" cy="4146249"/>
                    </a:xfrm>
                    <a:prstGeom prst="rect">
                      <a:avLst/>
                    </a:prstGeom>
                  </pic:spPr>
                </pic:pic>
              </a:graphicData>
            </a:graphic>
          </wp:inline>
        </w:drawing>
      </w:r>
    </w:p>
    <w:p w14:paraId="21B17363" w14:textId="581A4847" w:rsidR="00292A68" w:rsidRPr="00721172" w:rsidRDefault="00292A68" w:rsidP="00721172">
      <w:pPr>
        <w:rPr>
          <w:rFonts w:asciiTheme="minorBidi" w:hAnsiTheme="minorBidi"/>
        </w:rPr>
      </w:pPr>
      <w:r>
        <w:rPr>
          <w:rFonts w:asciiTheme="minorBidi" w:hAnsiTheme="minorBidi"/>
        </w:rPr>
        <w:t xml:space="preserve">Another activity </w:t>
      </w:r>
      <w:r w:rsidR="00E761F5">
        <w:rPr>
          <w:rFonts w:asciiTheme="minorBidi" w:hAnsiTheme="minorBidi"/>
        </w:rPr>
        <w:t>in the field of targeted nanomedicines, in collaboration with the group of Prof. Dan Peer from the Department of Cell research and Immunology involves developing modular platforms for antibody-mediated drug and siRNA delivery using lipid-based nanoparticles.</w:t>
      </w:r>
    </w:p>
    <w:p w14:paraId="715B9ECA" w14:textId="2DA589E7" w:rsidR="002718A3" w:rsidRDefault="002718A3" w:rsidP="0011720C">
      <w:pPr>
        <w:rPr>
          <w:rFonts w:asciiTheme="minorBidi" w:hAnsiTheme="minorBidi"/>
        </w:rPr>
      </w:pPr>
    </w:p>
    <w:p w14:paraId="62E78FEF" w14:textId="13B1A3AB" w:rsidR="002718A3" w:rsidRPr="006747FE" w:rsidRDefault="002718A3">
      <w:pPr>
        <w:rPr>
          <w:rFonts w:asciiTheme="minorBidi" w:hAnsiTheme="minorBidi"/>
          <w:b/>
          <w:bCs/>
        </w:rPr>
      </w:pPr>
      <w:r w:rsidRPr="006747FE">
        <w:rPr>
          <w:rFonts w:asciiTheme="minorBidi" w:hAnsiTheme="minorBidi"/>
          <w:b/>
          <w:bCs/>
        </w:rPr>
        <w:t>4) Study of novel approaches for discovering GPCR-specific antibodies.</w:t>
      </w:r>
    </w:p>
    <w:p w14:paraId="75E64B16" w14:textId="5196B47A" w:rsidR="006747FE" w:rsidRPr="006747FE" w:rsidRDefault="006747FE" w:rsidP="006747FE">
      <w:pPr>
        <w:rPr>
          <w:rFonts w:asciiTheme="minorBidi" w:hAnsiTheme="minorBidi"/>
        </w:rPr>
      </w:pPr>
      <w:r w:rsidRPr="006747FE">
        <w:rPr>
          <w:rFonts w:asciiTheme="minorBidi" w:hAnsiTheme="minorBidi"/>
        </w:rPr>
        <w:t>Ovarian cancer is the fifth leading cause of death for women in North America. High-grade serous ovarian cancer (SOC) is the most common and lethal subtype of the disease. Recent progress in genome-wide high-throughput screens made it possible to systematically identify “fitness genes” (defined as genes that confer a competitive advantage to cancer cell survival or proliferation), in a large number of SOC derived cell lines. The identification of fitness genes in SOC represents potential unanticipated targets that can be exploited therapeutically.</w:t>
      </w:r>
      <w:r>
        <w:rPr>
          <w:rFonts w:asciiTheme="minorBidi" w:hAnsiTheme="minorBidi"/>
        </w:rPr>
        <w:t xml:space="preserve"> Our</w:t>
      </w:r>
      <w:r w:rsidRPr="006747FE">
        <w:rPr>
          <w:rFonts w:asciiTheme="minorBidi" w:hAnsiTheme="minorBidi"/>
        </w:rPr>
        <w:t xml:space="preserve"> study is focused on one such identified target – the </w:t>
      </w:r>
      <w:proofErr w:type="spellStart"/>
      <w:r w:rsidRPr="006747FE">
        <w:rPr>
          <w:rFonts w:asciiTheme="minorBidi" w:hAnsiTheme="minorBidi"/>
        </w:rPr>
        <w:t>relaxin</w:t>
      </w:r>
      <w:proofErr w:type="spellEnd"/>
      <w:r w:rsidRPr="006747FE">
        <w:rPr>
          <w:rFonts w:asciiTheme="minorBidi" w:hAnsiTheme="minorBidi"/>
        </w:rPr>
        <w:t xml:space="preserve"> - </w:t>
      </w:r>
      <w:proofErr w:type="spellStart"/>
      <w:r w:rsidRPr="006747FE">
        <w:rPr>
          <w:rFonts w:asciiTheme="minorBidi" w:hAnsiTheme="minorBidi"/>
        </w:rPr>
        <w:t>relaxin</w:t>
      </w:r>
      <w:proofErr w:type="spellEnd"/>
      <w:r w:rsidRPr="006747FE">
        <w:rPr>
          <w:rFonts w:asciiTheme="minorBidi" w:hAnsiTheme="minorBidi"/>
        </w:rPr>
        <w:t xml:space="preserve"> receptor </w:t>
      </w:r>
      <w:proofErr w:type="spellStart"/>
      <w:r w:rsidRPr="006747FE">
        <w:rPr>
          <w:rFonts w:asciiTheme="minorBidi" w:hAnsiTheme="minorBidi"/>
        </w:rPr>
        <w:t>signalling</w:t>
      </w:r>
      <w:proofErr w:type="spellEnd"/>
      <w:r w:rsidRPr="006747FE">
        <w:rPr>
          <w:rFonts w:asciiTheme="minorBidi" w:hAnsiTheme="minorBidi"/>
        </w:rPr>
        <w:t xml:space="preserve"> pathway. The predominant form of </w:t>
      </w:r>
      <w:proofErr w:type="spellStart"/>
      <w:r w:rsidRPr="006747FE">
        <w:rPr>
          <w:rFonts w:asciiTheme="minorBidi" w:hAnsiTheme="minorBidi"/>
        </w:rPr>
        <w:t>relaxin</w:t>
      </w:r>
      <w:proofErr w:type="spellEnd"/>
      <w:r w:rsidRPr="006747FE">
        <w:rPr>
          <w:rFonts w:asciiTheme="minorBidi" w:hAnsiTheme="minorBidi"/>
        </w:rPr>
        <w:t xml:space="preserve">, relaxin-2 (termed H2 </w:t>
      </w:r>
      <w:proofErr w:type="spellStart"/>
      <w:r w:rsidRPr="006747FE">
        <w:rPr>
          <w:rFonts w:asciiTheme="minorBidi" w:hAnsiTheme="minorBidi"/>
        </w:rPr>
        <w:t>relaxin</w:t>
      </w:r>
      <w:proofErr w:type="spellEnd"/>
      <w:r w:rsidRPr="006747FE">
        <w:rPr>
          <w:rFonts w:asciiTheme="minorBidi" w:hAnsiTheme="minorBidi"/>
        </w:rPr>
        <w:t xml:space="preserve">) is encoded by the RLN2 gene. </w:t>
      </w:r>
      <w:proofErr w:type="spellStart"/>
      <w:r w:rsidRPr="006747FE">
        <w:rPr>
          <w:rFonts w:asciiTheme="minorBidi" w:hAnsiTheme="minorBidi"/>
        </w:rPr>
        <w:t>Relaxin</w:t>
      </w:r>
      <w:proofErr w:type="spellEnd"/>
      <w:r w:rsidRPr="006747FE">
        <w:rPr>
          <w:rFonts w:asciiTheme="minorBidi" w:hAnsiTheme="minorBidi"/>
        </w:rPr>
        <w:t xml:space="preserve"> signals via one of the leucine-rich repeat-containing G-protein coupled receptors (GPCRs), RXFP1 and RXFP2. H2 </w:t>
      </w:r>
      <w:proofErr w:type="spellStart"/>
      <w:r w:rsidRPr="006747FE">
        <w:rPr>
          <w:rFonts w:asciiTheme="minorBidi" w:hAnsiTheme="minorBidi"/>
        </w:rPr>
        <w:t>relaxin</w:t>
      </w:r>
      <w:proofErr w:type="spellEnd"/>
      <w:r w:rsidRPr="006747FE">
        <w:rPr>
          <w:rFonts w:asciiTheme="minorBidi" w:hAnsiTheme="minorBidi"/>
        </w:rPr>
        <w:t xml:space="preserve"> has been implicated in cancer, mostly in prostate cancer but also in ovarian cancer.</w:t>
      </w:r>
    </w:p>
    <w:p w14:paraId="1EDB7146" w14:textId="77777777" w:rsidR="006747FE" w:rsidRPr="006747FE" w:rsidRDefault="006747FE" w:rsidP="006747FE">
      <w:pPr>
        <w:rPr>
          <w:rFonts w:asciiTheme="minorBidi" w:hAnsiTheme="minorBidi"/>
        </w:rPr>
      </w:pPr>
      <w:r w:rsidRPr="006747FE">
        <w:rPr>
          <w:rFonts w:asciiTheme="minorBidi" w:hAnsiTheme="minorBidi"/>
        </w:rPr>
        <w:t xml:space="preserve">GPCRs represent one of the largest and most important classes of drug targets. In the last century, </w:t>
      </w:r>
      <w:proofErr w:type="gramStart"/>
      <w:r w:rsidRPr="006747FE">
        <w:rPr>
          <w:rFonts w:asciiTheme="minorBidi" w:hAnsiTheme="minorBidi"/>
        </w:rPr>
        <w:t>It</w:t>
      </w:r>
      <w:proofErr w:type="gramEnd"/>
      <w:r w:rsidRPr="006747FE">
        <w:rPr>
          <w:rFonts w:asciiTheme="minorBidi" w:hAnsiTheme="minorBidi"/>
        </w:rPr>
        <w:t xml:space="preserve"> has been estimated that 30% of small molecule marketed drugs target interaction with GPCRs has accounted for the mode of action of around 30% of small molecule marketed drugs. Biologics and in particular therapeutic monoclonal antibodies (</w:t>
      </w:r>
      <w:proofErr w:type="spellStart"/>
      <w:r w:rsidRPr="006747FE">
        <w:rPr>
          <w:rFonts w:asciiTheme="minorBidi" w:hAnsiTheme="minorBidi"/>
        </w:rPr>
        <w:t>mAbs</w:t>
      </w:r>
      <w:proofErr w:type="spellEnd"/>
      <w:r w:rsidRPr="006747FE">
        <w:rPr>
          <w:rFonts w:asciiTheme="minorBidi" w:hAnsiTheme="minorBidi"/>
        </w:rPr>
        <w:t xml:space="preserve">) have been suggested as attractive GPCR-targeting drugs, however, several reasons make GPCRs a challenging target and GPCR-specific </w:t>
      </w:r>
      <w:proofErr w:type="spellStart"/>
      <w:r w:rsidRPr="006747FE">
        <w:rPr>
          <w:rFonts w:asciiTheme="minorBidi" w:hAnsiTheme="minorBidi"/>
        </w:rPr>
        <w:t>mAbs</w:t>
      </w:r>
      <w:proofErr w:type="spellEnd"/>
      <w:r w:rsidRPr="006747FE">
        <w:rPr>
          <w:rFonts w:asciiTheme="minorBidi" w:hAnsiTheme="minorBidi"/>
        </w:rPr>
        <w:t xml:space="preserve"> are generally extremely difficult to isolate by traditional immunization-based methods and also by immunization free approaches.</w:t>
      </w:r>
    </w:p>
    <w:p w14:paraId="20E09A09" w14:textId="434C1177" w:rsidR="006747FE" w:rsidRDefault="006747FE" w:rsidP="006747FE">
      <w:pPr>
        <w:rPr>
          <w:rFonts w:asciiTheme="minorBidi" w:hAnsiTheme="minorBidi"/>
        </w:rPr>
      </w:pPr>
      <w:r w:rsidRPr="006747FE">
        <w:rPr>
          <w:rFonts w:asciiTheme="minorBidi" w:hAnsiTheme="minorBidi"/>
        </w:rPr>
        <w:t xml:space="preserve">This research aims to develop novel antibody- based therapeutics for ovarian cancer. We chose the </w:t>
      </w:r>
      <w:proofErr w:type="spellStart"/>
      <w:r w:rsidRPr="006747FE">
        <w:rPr>
          <w:rFonts w:asciiTheme="minorBidi" w:hAnsiTheme="minorBidi"/>
        </w:rPr>
        <w:t>relaxin</w:t>
      </w:r>
      <w:proofErr w:type="spellEnd"/>
      <w:r w:rsidRPr="006747FE">
        <w:rPr>
          <w:rFonts w:asciiTheme="minorBidi" w:hAnsiTheme="minorBidi"/>
        </w:rPr>
        <w:t xml:space="preserve"> </w:t>
      </w:r>
      <w:r w:rsidR="00AB1B7F" w:rsidRPr="006747FE">
        <w:rPr>
          <w:rFonts w:asciiTheme="minorBidi" w:hAnsiTheme="minorBidi"/>
        </w:rPr>
        <w:t>signaling</w:t>
      </w:r>
      <w:r w:rsidRPr="006747FE">
        <w:rPr>
          <w:rFonts w:asciiTheme="minorBidi" w:hAnsiTheme="minorBidi"/>
        </w:rPr>
        <w:t xml:space="preserve"> pathway as our initial target based on functional genetic screens. Heterologous expression of wild type or mutant GPCRs in the budding yeast </w:t>
      </w:r>
      <w:r w:rsidRPr="006747FE">
        <w:rPr>
          <w:rFonts w:asciiTheme="minorBidi" w:hAnsiTheme="minorBidi"/>
          <w:i/>
          <w:iCs/>
        </w:rPr>
        <w:t>Saccharomyces cerevisiae</w:t>
      </w:r>
      <w:r w:rsidRPr="006747FE">
        <w:rPr>
          <w:rFonts w:asciiTheme="minorBidi" w:hAnsiTheme="minorBidi"/>
        </w:rPr>
        <w:t xml:space="preserve"> allows a rapid assessment of their ability to detect and transduce extracellular stimulations, through the use of a reporter system. Their amenability to both genetic and biochemical manipulation and their robustness, low cost and the ability to create strains that lack endogenous GPCRs make engineered yeast an ideal starting point for the development of assays suitable for high-throughput screening. We </w:t>
      </w:r>
      <w:r>
        <w:rPr>
          <w:rFonts w:asciiTheme="minorBidi" w:hAnsiTheme="minorBidi"/>
        </w:rPr>
        <w:t>are</w:t>
      </w:r>
      <w:r w:rsidRPr="006747FE">
        <w:rPr>
          <w:rFonts w:asciiTheme="minorBidi" w:hAnsiTheme="minorBidi"/>
        </w:rPr>
        <w:t xml:space="preserve"> engineer</w:t>
      </w:r>
      <w:r>
        <w:rPr>
          <w:rFonts w:asciiTheme="minorBidi" w:hAnsiTheme="minorBidi"/>
        </w:rPr>
        <w:t>ing</w:t>
      </w:r>
      <w:r w:rsidRPr="006747FE">
        <w:rPr>
          <w:rFonts w:asciiTheme="minorBidi" w:hAnsiTheme="minorBidi"/>
        </w:rPr>
        <w:t xml:space="preserve"> GPCR-expressing yeasts that will allow us to screen for GPCR- neutrali</w:t>
      </w:r>
      <w:r>
        <w:rPr>
          <w:rFonts w:asciiTheme="minorBidi" w:hAnsiTheme="minorBidi"/>
        </w:rPr>
        <w:t>zing (antagonistic) antibodies</w:t>
      </w:r>
      <w:r w:rsidRPr="006747FE">
        <w:rPr>
          <w:rFonts w:asciiTheme="minorBidi" w:hAnsiTheme="minorBidi"/>
        </w:rPr>
        <w:t xml:space="preserve">. In addition to providing antibodies with potential for treating cancer, our proposal also addresses one of the greatest challenges in therapeutic </w:t>
      </w:r>
      <w:proofErr w:type="spellStart"/>
      <w:r w:rsidRPr="006747FE">
        <w:rPr>
          <w:rFonts w:asciiTheme="minorBidi" w:hAnsiTheme="minorBidi"/>
        </w:rPr>
        <w:t>mAb</w:t>
      </w:r>
      <w:proofErr w:type="spellEnd"/>
      <w:r w:rsidRPr="006747FE">
        <w:rPr>
          <w:rFonts w:asciiTheme="minorBidi" w:hAnsiTheme="minorBidi"/>
        </w:rPr>
        <w:t xml:space="preserve"> discovery today– integrating the bioassay in the antibody discovery process.</w:t>
      </w:r>
    </w:p>
    <w:p w14:paraId="06D921BD" w14:textId="2146DF1B" w:rsidR="002718A3" w:rsidRDefault="002718A3">
      <w:pPr>
        <w:rPr>
          <w:rFonts w:asciiTheme="minorBidi" w:hAnsiTheme="minorBidi"/>
        </w:rPr>
      </w:pPr>
    </w:p>
    <w:p w14:paraId="4FC1E559" w14:textId="6749AF0A" w:rsidR="002718A3" w:rsidRPr="00593891" w:rsidRDefault="002718A3">
      <w:pPr>
        <w:rPr>
          <w:rFonts w:asciiTheme="minorBidi" w:hAnsiTheme="minorBidi"/>
          <w:b/>
          <w:bCs/>
        </w:rPr>
      </w:pPr>
      <w:r w:rsidRPr="00593891">
        <w:rPr>
          <w:rFonts w:asciiTheme="minorBidi" w:hAnsiTheme="minorBidi"/>
          <w:b/>
          <w:bCs/>
        </w:rPr>
        <w:t>5) Targeting lymphoma with bispecific antibodies.</w:t>
      </w:r>
    </w:p>
    <w:p w14:paraId="3E0C5AF1" w14:textId="78C2F712" w:rsidR="00593891" w:rsidRPr="00593891" w:rsidRDefault="00593891" w:rsidP="00BF2AC4">
      <w:pPr>
        <w:rPr>
          <w:rFonts w:asciiTheme="minorBidi" w:hAnsiTheme="minorBidi"/>
        </w:rPr>
      </w:pPr>
      <w:r w:rsidRPr="00593891">
        <w:rPr>
          <w:rFonts w:asciiTheme="minorBidi" w:hAnsiTheme="minorBidi"/>
        </w:rPr>
        <w:t xml:space="preserve">Lymphomas are group of diseases that affect the hematopoietic system and are associated with various acquired genetic events. In recent years, treatment of </w:t>
      </w:r>
      <w:r w:rsidR="00BF2AC4">
        <w:rPr>
          <w:rFonts w:asciiTheme="minorBidi" w:hAnsiTheme="minorBidi"/>
        </w:rPr>
        <w:t>l</w:t>
      </w:r>
      <w:r w:rsidRPr="00593891">
        <w:rPr>
          <w:rFonts w:asciiTheme="minorBidi" w:hAnsiTheme="minorBidi"/>
        </w:rPr>
        <w:t>ymphomas involves also biological targeted therapies. Although higher remission rates are achieved, relapse is still a major challenge. Sustainment of long-term remission is crucial and tumor surveillance is highly needed.</w:t>
      </w:r>
    </w:p>
    <w:p w14:paraId="7B09A198" w14:textId="77777777" w:rsidR="00593891" w:rsidRPr="00593891" w:rsidRDefault="00593891" w:rsidP="00593891">
      <w:pPr>
        <w:rPr>
          <w:rFonts w:asciiTheme="minorBidi" w:hAnsiTheme="minorBidi"/>
        </w:rPr>
      </w:pPr>
      <w:r w:rsidRPr="00593891">
        <w:rPr>
          <w:rFonts w:asciiTheme="minorBidi" w:hAnsiTheme="minorBidi"/>
        </w:rPr>
        <w:lastRenderedPageBreak/>
        <w:t>As a rule, anti-cancer therapeutic monoclonal antibodies (</w:t>
      </w:r>
      <w:proofErr w:type="spellStart"/>
      <w:r w:rsidRPr="00593891">
        <w:rPr>
          <w:rFonts w:asciiTheme="minorBidi" w:hAnsiTheme="minorBidi"/>
        </w:rPr>
        <w:t>mAbs</w:t>
      </w:r>
      <w:proofErr w:type="spellEnd"/>
      <w:r w:rsidRPr="00593891">
        <w:rPr>
          <w:rFonts w:asciiTheme="minorBidi" w:hAnsiTheme="minorBidi"/>
        </w:rPr>
        <w:t xml:space="preserve">) are approved for treating target cells that express the highest level of the cell-surface target protein. </w:t>
      </w:r>
      <w:bookmarkStart w:id="2" w:name="_GoBack"/>
      <w:bookmarkEnd w:id="2"/>
      <w:r w:rsidRPr="00593891">
        <w:rPr>
          <w:rFonts w:asciiTheme="minorBidi" w:hAnsiTheme="minorBidi"/>
        </w:rPr>
        <w:t>Recently it was suggested that bispecific antibodies (</w:t>
      </w:r>
      <w:proofErr w:type="spellStart"/>
      <w:r w:rsidRPr="00593891">
        <w:rPr>
          <w:rFonts w:asciiTheme="minorBidi" w:hAnsiTheme="minorBidi"/>
        </w:rPr>
        <w:t>bsAbs</w:t>
      </w:r>
      <w:proofErr w:type="spellEnd"/>
      <w:r w:rsidRPr="00593891">
        <w:rPr>
          <w:rFonts w:asciiTheme="minorBidi" w:hAnsiTheme="minorBidi"/>
        </w:rPr>
        <w:t xml:space="preserve">) can make it possible to target cells that express two targets at lower levels, or that bind the individual targets with moderate affinity. As a result, malignancies that cannot be effectively targeted with the individual </w:t>
      </w:r>
      <w:proofErr w:type="spellStart"/>
      <w:r w:rsidRPr="00593891">
        <w:rPr>
          <w:rFonts w:asciiTheme="minorBidi" w:hAnsiTheme="minorBidi"/>
        </w:rPr>
        <w:t>mAbs</w:t>
      </w:r>
      <w:proofErr w:type="spellEnd"/>
      <w:r w:rsidRPr="00593891">
        <w:rPr>
          <w:rFonts w:asciiTheme="minorBidi" w:hAnsiTheme="minorBidi"/>
        </w:rPr>
        <w:t xml:space="preserve"> may be effectively targeted by co-engagement of the two targets by the corresponding bispecific antibody.</w:t>
      </w:r>
    </w:p>
    <w:p w14:paraId="1B7A5BEA" w14:textId="31FC6EBF" w:rsidR="00593891" w:rsidRPr="00593891" w:rsidRDefault="00593891" w:rsidP="00052171">
      <w:pPr>
        <w:rPr>
          <w:rFonts w:asciiTheme="minorBidi" w:hAnsiTheme="minorBidi"/>
        </w:rPr>
      </w:pPr>
      <w:r w:rsidRPr="00593891">
        <w:rPr>
          <w:rFonts w:asciiTheme="minorBidi" w:hAnsiTheme="minorBidi"/>
        </w:rPr>
        <w:t xml:space="preserve">We </w:t>
      </w:r>
      <w:r w:rsidR="00BF2AC4">
        <w:rPr>
          <w:rFonts w:asciiTheme="minorBidi" w:hAnsiTheme="minorBidi"/>
        </w:rPr>
        <w:t>are studying</w:t>
      </w:r>
      <w:r w:rsidRPr="00593891">
        <w:rPr>
          <w:rFonts w:asciiTheme="minorBidi" w:hAnsiTheme="minorBidi"/>
        </w:rPr>
        <w:t xml:space="preserve"> lymphomas that co-express the cell surface targets CD30 and CD24 with an aim to identify the lymphomas that respond poorly to treatment with </w:t>
      </w:r>
      <w:proofErr w:type="spellStart"/>
      <w:r w:rsidRPr="00593891">
        <w:rPr>
          <w:rFonts w:asciiTheme="minorBidi" w:hAnsiTheme="minorBidi"/>
        </w:rPr>
        <w:t>mAbs</w:t>
      </w:r>
      <w:proofErr w:type="spellEnd"/>
      <w:r w:rsidRPr="00593891">
        <w:rPr>
          <w:rFonts w:asciiTheme="minorBidi" w:hAnsiTheme="minorBidi"/>
        </w:rPr>
        <w:t xml:space="preserve"> that target CD30 and CD24 individually while treatment with a CD30/CD24-binding </w:t>
      </w:r>
      <w:proofErr w:type="spellStart"/>
      <w:proofErr w:type="gramStart"/>
      <w:r w:rsidRPr="00593891">
        <w:rPr>
          <w:rFonts w:asciiTheme="minorBidi" w:hAnsiTheme="minorBidi"/>
        </w:rPr>
        <w:t>bsAb</w:t>
      </w:r>
      <w:proofErr w:type="spellEnd"/>
      <w:r w:rsidRPr="00593891">
        <w:rPr>
          <w:rFonts w:asciiTheme="minorBidi" w:hAnsiTheme="minorBidi"/>
        </w:rPr>
        <w:t xml:space="preserve">  will</w:t>
      </w:r>
      <w:proofErr w:type="gramEnd"/>
      <w:r w:rsidRPr="00593891">
        <w:rPr>
          <w:rFonts w:asciiTheme="minorBidi" w:hAnsiTheme="minorBidi"/>
        </w:rPr>
        <w:t xml:space="preserve"> be more efficacious. We </w:t>
      </w:r>
      <w:r w:rsidR="00052171">
        <w:rPr>
          <w:rFonts w:asciiTheme="minorBidi" w:hAnsiTheme="minorBidi"/>
        </w:rPr>
        <w:t>are</w:t>
      </w:r>
      <w:r w:rsidRPr="00593891">
        <w:rPr>
          <w:rFonts w:asciiTheme="minorBidi" w:hAnsiTheme="minorBidi"/>
        </w:rPr>
        <w:t xml:space="preserve"> compar</w:t>
      </w:r>
      <w:r w:rsidR="00052171">
        <w:rPr>
          <w:rFonts w:asciiTheme="minorBidi" w:hAnsiTheme="minorBidi"/>
        </w:rPr>
        <w:t>ing</w:t>
      </w:r>
      <w:r w:rsidRPr="00593891">
        <w:rPr>
          <w:rFonts w:asciiTheme="minorBidi" w:hAnsiTheme="minorBidi"/>
        </w:rPr>
        <w:t xml:space="preserve"> antibody-mediated staining and killing of cultured cells, freshly-isolated patient cells and a</w:t>
      </w:r>
      <w:r w:rsidR="00052171">
        <w:rPr>
          <w:rFonts w:asciiTheme="minorBidi" w:hAnsiTheme="minorBidi"/>
        </w:rPr>
        <w:t xml:space="preserve"> in the future</w:t>
      </w:r>
      <w:r w:rsidRPr="00593891">
        <w:rPr>
          <w:rFonts w:asciiTheme="minorBidi" w:hAnsiTheme="minorBidi"/>
        </w:rPr>
        <w:t xml:space="preserve"> suitable mouse model. The compared treatments will comprise the </w:t>
      </w:r>
      <w:proofErr w:type="spellStart"/>
      <w:r w:rsidRPr="00593891">
        <w:rPr>
          <w:rFonts w:asciiTheme="minorBidi" w:hAnsiTheme="minorBidi"/>
        </w:rPr>
        <w:t>mAbs</w:t>
      </w:r>
      <w:proofErr w:type="spellEnd"/>
      <w:r w:rsidRPr="00593891">
        <w:rPr>
          <w:rFonts w:asciiTheme="minorBidi" w:hAnsiTheme="minorBidi"/>
        </w:rPr>
        <w:t xml:space="preserve"> alone, applied together, as a </w:t>
      </w:r>
      <w:proofErr w:type="spellStart"/>
      <w:r w:rsidRPr="00593891">
        <w:rPr>
          <w:rFonts w:asciiTheme="minorBidi" w:hAnsiTheme="minorBidi"/>
        </w:rPr>
        <w:t>bsAb</w:t>
      </w:r>
      <w:proofErr w:type="spellEnd"/>
      <w:r w:rsidRPr="00593891">
        <w:rPr>
          <w:rFonts w:asciiTheme="minorBidi" w:hAnsiTheme="minorBidi"/>
        </w:rPr>
        <w:t xml:space="preserve"> and all of the above in combination with chemotherapy.</w:t>
      </w:r>
      <w:r w:rsidR="00052171">
        <w:rPr>
          <w:rFonts w:asciiTheme="minorBidi" w:hAnsiTheme="minorBidi"/>
        </w:rPr>
        <w:t xml:space="preserve"> </w:t>
      </w:r>
      <w:r w:rsidRPr="00593891">
        <w:rPr>
          <w:rFonts w:asciiTheme="minorBidi" w:hAnsiTheme="minorBidi"/>
        </w:rPr>
        <w:t xml:space="preserve">By identifying the most suitable hematological malignancy for CD30/CD24-targeting bispecific antibody we may in the future be able to offer patients suffering from such malignancies a targeted therapy option currently not available to them. </w:t>
      </w:r>
    </w:p>
    <w:p w14:paraId="60BF671D" w14:textId="77777777" w:rsidR="00593891" w:rsidRPr="00593891" w:rsidRDefault="00593891">
      <w:pPr>
        <w:rPr>
          <w:rFonts w:asciiTheme="minorBidi" w:hAnsiTheme="minorBidi"/>
        </w:rPr>
      </w:pPr>
    </w:p>
    <w:sectPr w:rsidR="00593891" w:rsidRPr="00593891" w:rsidSect="00465496">
      <w:footerReference w:type="even" r:id="rId10"/>
      <w:footerReference w:type="default" r:id="rId11"/>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8A107" w14:textId="77777777" w:rsidR="00A01E64" w:rsidRDefault="00A01E64" w:rsidP="00C24C34">
      <w:pPr>
        <w:spacing w:after="0" w:line="240" w:lineRule="auto"/>
      </w:pPr>
      <w:r>
        <w:separator/>
      </w:r>
    </w:p>
  </w:endnote>
  <w:endnote w:type="continuationSeparator" w:id="0">
    <w:p w14:paraId="0AAC30D5" w14:textId="77777777" w:rsidR="00A01E64" w:rsidRDefault="00A01E64" w:rsidP="00C2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BC34" w14:textId="77777777" w:rsidR="00C24C34" w:rsidRDefault="00C24C34" w:rsidP="00E7468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AA2C72" w14:textId="77777777" w:rsidR="00C24C34" w:rsidRDefault="00C24C3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F388" w14:textId="77777777" w:rsidR="00C24C34" w:rsidRDefault="00C24C34" w:rsidP="00E7468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2171">
      <w:rPr>
        <w:rStyle w:val="PageNumber"/>
        <w:noProof/>
      </w:rPr>
      <w:t>1</w:t>
    </w:r>
    <w:r>
      <w:rPr>
        <w:rStyle w:val="PageNumber"/>
      </w:rPr>
      <w:fldChar w:fldCharType="end"/>
    </w:r>
  </w:p>
  <w:p w14:paraId="146E7C94" w14:textId="77777777" w:rsidR="00C24C34" w:rsidRDefault="00C24C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482C8" w14:textId="77777777" w:rsidR="00A01E64" w:rsidRDefault="00A01E64" w:rsidP="00C24C34">
      <w:pPr>
        <w:spacing w:after="0" w:line="240" w:lineRule="auto"/>
      </w:pPr>
      <w:r>
        <w:separator/>
      </w:r>
    </w:p>
  </w:footnote>
  <w:footnote w:type="continuationSeparator" w:id="0">
    <w:p w14:paraId="1759AAE4" w14:textId="77777777" w:rsidR="00A01E64" w:rsidRDefault="00A01E64" w:rsidP="00C24C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496"/>
    <w:rsid w:val="00027E38"/>
    <w:rsid w:val="00052171"/>
    <w:rsid w:val="0011720C"/>
    <w:rsid w:val="002130A3"/>
    <w:rsid w:val="002718A3"/>
    <w:rsid w:val="00292A68"/>
    <w:rsid w:val="00351863"/>
    <w:rsid w:val="00465496"/>
    <w:rsid w:val="004F4EF6"/>
    <w:rsid w:val="005207C6"/>
    <w:rsid w:val="0058442D"/>
    <w:rsid w:val="00593891"/>
    <w:rsid w:val="006747FE"/>
    <w:rsid w:val="006F3BF3"/>
    <w:rsid w:val="00721172"/>
    <w:rsid w:val="007563E7"/>
    <w:rsid w:val="007F30DB"/>
    <w:rsid w:val="00821F9D"/>
    <w:rsid w:val="00872DBE"/>
    <w:rsid w:val="00890332"/>
    <w:rsid w:val="008938BA"/>
    <w:rsid w:val="008A5456"/>
    <w:rsid w:val="008D7A58"/>
    <w:rsid w:val="0093644B"/>
    <w:rsid w:val="00974F10"/>
    <w:rsid w:val="009B28DB"/>
    <w:rsid w:val="009B5750"/>
    <w:rsid w:val="00A01E64"/>
    <w:rsid w:val="00AB1B7F"/>
    <w:rsid w:val="00B8472C"/>
    <w:rsid w:val="00B84834"/>
    <w:rsid w:val="00BF2AC4"/>
    <w:rsid w:val="00C10400"/>
    <w:rsid w:val="00C24C34"/>
    <w:rsid w:val="00CE7B2F"/>
    <w:rsid w:val="00D055BE"/>
    <w:rsid w:val="00DE4997"/>
    <w:rsid w:val="00E56C74"/>
    <w:rsid w:val="00E761F5"/>
    <w:rsid w:val="00FE79D1"/>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8E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4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5496"/>
    <w:rPr>
      <w:b/>
      <w:bCs/>
    </w:rPr>
  </w:style>
  <w:style w:type="character" w:customStyle="1" w:styleId="apple-converted-space">
    <w:name w:val="apple-converted-space"/>
    <w:basedOn w:val="DefaultParagraphFont"/>
    <w:rsid w:val="00465496"/>
  </w:style>
  <w:style w:type="paragraph" w:styleId="BalloonText">
    <w:name w:val="Balloon Text"/>
    <w:basedOn w:val="Normal"/>
    <w:link w:val="BalloonTextChar"/>
    <w:uiPriority w:val="99"/>
    <w:semiHidden/>
    <w:unhideWhenUsed/>
    <w:rsid w:val="0046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96"/>
    <w:rPr>
      <w:rFonts w:ascii="Tahoma" w:hAnsi="Tahoma" w:cs="Tahoma"/>
      <w:sz w:val="16"/>
      <w:szCs w:val="16"/>
    </w:rPr>
  </w:style>
  <w:style w:type="paragraph" w:styleId="Footer">
    <w:name w:val="footer"/>
    <w:basedOn w:val="Normal"/>
    <w:link w:val="FooterChar"/>
    <w:uiPriority w:val="99"/>
    <w:unhideWhenUsed/>
    <w:rsid w:val="00C24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C34"/>
  </w:style>
  <w:style w:type="character" w:styleId="PageNumber">
    <w:name w:val="page number"/>
    <w:basedOn w:val="DefaultParagraphFont"/>
    <w:uiPriority w:val="99"/>
    <w:semiHidden/>
    <w:unhideWhenUsed/>
    <w:rsid w:val="00C24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2058</Words>
  <Characters>11733</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Tel Aviv University</Company>
  <LinksUpToDate>false</LinksUpToDate>
  <CharactersWithSpaces>13764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Neomi</dc:creator>
  <cp:lastModifiedBy>Itai Benhar</cp:lastModifiedBy>
  <cp:revision>25</cp:revision>
  <dcterms:created xsi:type="dcterms:W3CDTF">2017-11-01T06:20:00Z</dcterms:created>
  <dcterms:modified xsi:type="dcterms:W3CDTF">2017-11-01T12:55:00Z</dcterms:modified>
</cp:coreProperties>
</file>