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2C36" w:rsidRPr="003E2C36" w:rsidRDefault="003E2C36" w:rsidP="003E2C36">
      <w:pPr>
        <w:jc w:val="center"/>
        <w:rPr>
          <w:rFonts w:asciiTheme="majorBidi" w:hAnsiTheme="majorBidi" w:cstheme="majorBidi"/>
          <w:sz w:val="36"/>
          <w:szCs w:val="36"/>
        </w:rPr>
      </w:pPr>
      <w:r w:rsidRPr="003E2C36">
        <w:rPr>
          <w:rFonts w:asciiTheme="majorBidi" w:hAnsiTheme="majorBidi" w:cstheme="majorBidi"/>
          <w:sz w:val="36"/>
          <w:szCs w:val="36"/>
        </w:rPr>
        <w:t>Signal Transduction Crossroads as Fate Determinants of the Interactions of Oncolytic Viruses and Cancer Cells</w:t>
      </w:r>
    </w:p>
    <w:p w:rsidR="003E2C36" w:rsidRPr="003E2C36" w:rsidRDefault="003E2C36" w:rsidP="003E2C36">
      <w:pPr>
        <w:jc w:val="both"/>
        <w:rPr>
          <w:rFonts w:asciiTheme="majorBidi" w:hAnsiTheme="majorBidi" w:cstheme="majorBidi"/>
          <w:sz w:val="36"/>
          <w:szCs w:val="36"/>
        </w:rPr>
      </w:pPr>
    </w:p>
    <w:p w:rsidR="003E2C36" w:rsidRPr="003E2C36" w:rsidRDefault="003E2C36" w:rsidP="003E2C36">
      <w:pPr>
        <w:jc w:val="center"/>
        <w:rPr>
          <w:rFonts w:asciiTheme="majorBidi" w:hAnsiTheme="majorBidi" w:cstheme="majorBidi"/>
          <w:sz w:val="28"/>
          <w:szCs w:val="28"/>
        </w:rPr>
      </w:pPr>
      <w:r w:rsidRPr="003E2C36">
        <w:rPr>
          <w:rFonts w:asciiTheme="majorBidi" w:hAnsiTheme="majorBidi" w:cstheme="majorBidi"/>
          <w:sz w:val="28"/>
          <w:szCs w:val="28"/>
        </w:rPr>
        <w:t>By Sucheta De</w:t>
      </w:r>
    </w:p>
    <w:p w:rsidR="003E2C36" w:rsidRPr="003E2C36" w:rsidRDefault="003E2C36" w:rsidP="003E2C36">
      <w:pPr>
        <w:jc w:val="center"/>
        <w:rPr>
          <w:rFonts w:asciiTheme="majorBidi" w:hAnsiTheme="majorBidi" w:cstheme="majorBidi"/>
          <w:sz w:val="28"/>
          <w:szCs w:val="28"/>
        </w:rPr>
      </w:pPr>
    </w:p>
    <w:p w:rsidR="003E2C36" w:rsidRPr="003E2C36" w:rsidRDefault="003E2C36" w:rsidP="003E2C36">
      <w:pPr>
        <w:jc w:val="center"/>
        <w:rPr>
          <w:rFonts w:asciiTheme="majorBidi" w:hAnsiTheme="majorBidi" w:cstheme="majorBidi"/>
          <w:sz w:val="28"/>
          <w:szCs w:val="28"/>
        </w:rPr>
      </w:pPr>
      <w:r w:rsidRPr="003E2C36">
        <w:rPr>
          <w:rFonts w:asciiTheme="majorBidi" w:hAnsiTheme="majorBidi" w:cstheme="majorBidi"/>
          <w:sz w:val="28"/>
          <w:szCs w:val="28"/>
        </w:rPr>
        <w:t>Under the supervision of Prof. Marcelo Ehrlich</w:t>
      </w:r>
    </w:p>
    <w:p w:rsidR="003E2C36" w:rsidRDefault="003E2C36" w:rsidP="00397042">
      <w:pPr>
        <w:jc w:val="center"/>
        <w:rPr>
          <w:rFonts w:asciiTheme="majorBidi" w:hAnsiTheme="majorBidi" w:cstheme="majorBidi"/>
          <w:sz w:val="32"/>
          <w:szCs w:val="32"/>
          <w:u w:val="single"/>
        </w:rPr>
      </w:pPr>
    </w:p>
    <w:p w:rsidR="0070408F" w:rsidRDefault="00397042" w:rsidP="003E2C36">
      <w:pPr>
        <w:jc w:val="both"/>
        <w:rPr>
          <w:rFonts w:asciiTheme="majorBidi" w:hAnsiTheme="majorBidi" w:cstheme="majorBidi"/>
          <w:sz w:val="32"/>
          <w:szCs w:val="32"/>
          <w:u w:val="single"/>
        </w:rPr>
      </w:pPr>
      <w:r w:rsidRPr="00397042">
        <w:rPr>
          <w:rFonts w:asciiTheme="majorBidi" w:hAnsiTheme="majorBidi" w:cstheme="majorBidi"/>
          <w:sz w:val="32"/>
          <w:szCs w:val="32"/>
          <w:u w:val="single"/>
        </w:rPr>
        <w:t>Abstract</w:t>
      </w:r>
      <w:r w:rsidR="003E2C36">
        <w:rPr>
          <w:rFonts w:asciiTheme="majorBidi" w:hAnsiTheme="majorBidi" w:cstheme="majorBidi"/>
          <w:sz w:val="32"/>
          <w:szCs w:val="32"/>
          <w:u w:val="single"/>
        </w:rPr>
        <w:t>:</w:t>
      </w:r>
    </w:p>
    <w:p w:rsidR="00397042" w:rsidRDefault="00397042" w:rsidP="00397042">
      <w:pPr>
        <w:spacing w:line="480" w:lineRule="auto"/>
        <w:rPr>
          <w:rFonts w:asciiTheme="majorBidi" w:hAnsiTheme="majorBidi" w:cstheme="majorBidi"/>
          <w:lang w:val="en-US"/>
        </w:rPr>
      </w:pPr>
    </w:p>
    <w:p w:rsidR="00397042" w:rsidRDefault="00397042" w:rsidP="00397042">
      <w:pPr>
        <w:spacing w:line="480" w:lineRule="auto"/>
        <w:jc w:val="both"/>
        <w:rPr>
          <w:rFonts w:asciiTheme="majorBidi" w:hAnsiTheme="majorBidi" w:cstheme="majorBidi"/>
          <w:lang w:val="en-US"/>
        </w:rPr>
      </w:pPr>
      <w:r>
        <w:rPr>
          <w:rFonts w:asciiTheme="majorBidi" w:hAnsiTheme="majorBidi" w:cstheme="majorBidi"/>
          <w:lang w:val="en-US"/>
        </w:rPr>
        <w:t xml:space="preserve">Alterations to signal transduction pathways represent a defining characteristic that distinguishes malignant cells from normal cells. In many instances, these alterations notably include but are not limited to compromised cell-autonomous immune signaling mechanisms, including antiviral responses, enabling cancer cells to evade immune surveillance and apoptotic cell death. Oncolytic virotherapy exploits these cellular and molecular defects by employing naturally occurring or genetically modified viruses that preferentially infect and lyse malignant cells with impaired intrinsic immune responses while concurrently stimulating systemic anti-tumor immune responses. However, the clinical application of oncolytic viruses (OVs) faces significant challenges due to inconsistent therapeutic efficacy as monotherapies, largely attributed to differences in tumor susceptibilities to OVs, driven by the heterogeneity of different tumor types, with certain subsets of tumor types exhibiting resistance to OVs. Consequently, combining OVs with distinct anti-cancer compounds may overcome resistance mechanisms, increase infection and oncolysis, and improve overall therapeutic OV efficacy. Given these requirements, microtubule-targeting agents (MTAs) represent a particularly promising combination agent as they disrupt microtubule dynamics and function, and arrest cells at the spindle assembly checkpoint (SAC) while inducing various forms of mitotic cell death. To maximize the clinical benefit of such combination strategies, it is essential to have a comprehensive understanding of the underlying mechanisms by which they affect cellular signaling in general and cell autonomous immunity in particular, and the therapeutic </w:t>
      </w:r>
      <w:r>
        <w:rPr>
          <w:rFonts w:asciiTheme="majorBidi" w:hAnsiTheme="majorBidi" w:cstheme="majorBidi"/>
          <w:lang w:val="en-US"/>
        </w:rPr>
        <w:lastRenderedPageBreak/>
        <w:t>interactions they may have with oncolytic virus infection. These are the primary aims of my study. Here, I explored the combined oncolytic potential of the oncolytic double-stranded RNA orbivirus, Epizootic Hemorrhagic Disease Virus-Tel Aviv University (EHDV-TAU), with a microtubule targeting agent (MTA) 2-methoxyestradiol (2ME2) in</w:t>
      </w:r>
      <w:r w:rsidRPr="00D41F24">
        <w:rPr>
          <w:rFonts w:asciiTheme="majorBidi" w:hAnsiTheme="majorBidi" w:cstheme="majorBidi"/>
          <w:lang w:val="en-US"/>
        </w:rPr>
        <w:t xml:space="preserve"> </w:t>
      </w:r>
      <w:r>
        <w:rPr>
          <w:rFonts w:asciiTheme="majorBidi" w:hAnsiTheme="majorBidi" w:cstheme="majorBidi"/>
          <w:lang w:val="en-US"/>
        </w:rPr>
        <w:t>T24 and SW1710 bladder cancer cell lines and SKMEL3 melanoma cells. The research effort was undertaken within this scope, and it involved:</w:t>
      </w:r>
    </w:p>
    <w:p w:rsidR="00397042" w:rsidRDefault="00397042" w:rsidP="00397042">
      <w:pPr>
        <w:spacing w:line="480" w:lineRule="auto"/>
        <w:jc w:val="both"/>
        <w:rPr>
          <w:rFonts w:asciiTheme="majorBidi" w:hAnsiTheme="majorBidi" w:cstheme="majorBidi"/>
          <w:lang w:val="en-US"/>
        </w:rPr>
      </w:pPr>
      <w:r>
        <w:rPr>
          <w:rFonts w:asciiTheme="majorBidi" w:hAnsiTheme="majorBidi" w:cstheme="majorBidi"/>
          <w:lang w:val="en-US"/>
        </w:rPr>
        <w:t xml:space="preserve"> </w:t>
      </w:r>
      <w:proofErr w:type="spellStart"/>
      <w:r>
        <w:rPr>
          <w:rFonts w:asciiTheme="majorBidi" w:hAnsiTheme="majorBidi" w:cstheme="majorBidi"/>
          <w:lang w:val="en-US"/>
        </w:rPr>
        <w:t>i</w:t>
      </w:r>
      <w:proofErr w:type="spellEnd"/>
      <w:r>
        <w:rPr>
          <w:rFonts w:asciiTheme="majorBidi" w:hAnsiTheme="majorBidi" w:cstheme="majorBidi"/>
          <w:lang w:val="en-US"/>
        </w:rPr>
        <w:t xml:space="preserve">) assessing the modulatory effect of 2ME2 on EHDV-TAU-mediated infection and oncolysis in bladder cancer and melanoma cells, </w:t>
      </w:r>
    </w:p>
    <w:p w:rsidR="00397042" w:rsidRDefault="00397042" w:rsidP="00397042">
      <w:pPr>
        <w:spacing w:line="480" w:lineRule="auto"/>
        <w:jc w:val="both"/>
        <w:rPr>
          <w:rFonts w:asciiTheme="majorBidi" w:hAnsiTheme="majorBidi" w:cstheme="majorBidi"/>
          <w:lang w:val="en-US"/>
        </w:rPr>
      </w:pPr>
      <w:r>
        <w:rPr>
          <w:rFonts w:asciiTheme="majorBidi" w:hAnsiTheme="majorBidi" w:cstheme="majorBidi"/>
          <w:lang w:val="en-US"/>
        </w:rPr>
        <w:t xml:space="preserve">ii) examining the immunogenic parameters of cell death resulting from the combination treatment, and </w:t>
      </w:r>
    </w:p>
    <w:p w:rsidR="00397042" w:rsidRDefault="00397042" w:rsidP="00397042">
      <w:pPr>
        <w:spacing w:line="480" w:lineRule="auto"/>
        <w:jc w:val="both"/>
        <w:rPr>
          <w:rFonts w:asciiTheme="majorBidi" w:hAnsiTheme="majorBidi" w:cstheme="majorBidi"/>
          <w:lang w:val="en-US"/>
        </w:rPr>
      </w:pPr>
      <w:r>
        <w:rPr>
          <w:rFonts w:asciiTheme="majorBidi" w:hAnsiTheme="majorBidi" w:cstheme="majorBidi"/>
          <w:lang w:val="en-US"/>
        </w:rPr>
        <w:t xml:space="preserve">iii) unravelling the molecular determinants of the combination regimen’s effectiveness.  While numerous combination strategies incorporating OVs and MTAs are currently being studied in their preclinical and clinical phases, the specific combination of 2ME2, an MTA with a proven safety profile, with OV treatment in general, and with EHDV-TAU in particular, has not been previously explored; my investigations demonstrate promising results for this novel therapeutic regimen as a potent anti-cancer strategy.  My results show that sub-lethal concentrations of 2ME2 disrupted the cell cycle and enhanced multiple parameters of EHDV-TAU oncolysis across cancer cell types. Specifically, the treatment yielded several key findings: </w:t>
      </w:r>
    </w:p>
    <w:p w:rsidR="00397042" w:rsidRDefault="00397042" w:rsidP="00397042">
      <w:pPr>
        <w:spacing w:line="480" w:lineRule="auto"/>
        <w:jc w:val="both"/>
        <w:rPr>
          <w:rFonts w:asciiTheme="majorBidi" w:hAnsiTheme="majorBidi" w:cstheme="majorBidi"/>
          <w:lang w:val="en-US"/>
        </w:rPr>
      </w:pPr>
      <w:r>
        <w:rPr>
          <w:rFonts w:asciiTheme="majorBidi" w:hAnsiTheme="majorBidi" w:cstheme="majorBidi"/>
          <w:lang w:val="en-US"/>
        </w:rPr>
        <w:t>(</w:t>
      </w:r>
      <w:proofErr w:type="spellStart"/>
      <w:r>
        <w:rPr>
          <w:rFonts w:asciiTheme="majorBidi" w:hAnsiTheme="majorBidi" w:cstheme="majorBidi"/>
          <w:lang w:val="en-US"/>
        </w:rPr>
        <w:t>i</w:t>
      </w:r>
      <w:proofErr w:type="spellEnd"/>
      <w:r>
        <w:rPr>
          <w:rFonts w:asciiTheme="majorBidi" w:hAnsiTheme="majorBidi" w:cstheme="majorBidi"/>
          <w:lang w:val="en-US"/>
        </w:rPr>
        <w:t xml:space="preserve">) 2ME2-mediated enhancement of oncolytic parameters in T24 and SKMEL3 cells, which are semi-permissive to EHDV-TAU; </w:t>
      </w:r>
    </w:p>
    <w:p w:rsidR="00397042" w:rsidRDefault="00397042" w:rsidP="00397042">
      <w:pPr>
        <w:spacing w:line="480" w:lineRule="auto"/>
        <w:jc w:val="both"/>
        <w:rPr>
          <w:rFonts w:asciiTheme="majorBidi" w:hAnsiTheme="majorBidi" w:cstheme="majorBidi"/>
          <w:lang w:val="en-US"/>
        </w:rPr>
      </w:pPr>
      <w:r>
        <w:rPr>
          <w:rFonts w:asciiTheme="majorBidi" w:hAnsiTheme="majorBidi" w:cstheme="majorBidi"/>
          <w:lang w:val="en-US"/>
        </w:rPr>
        <w:t xml:space="preserve">(ii) lesser impact of 2ME2 on the oncolytic response of SW1710 cells, which are EHDV-TAU-permissive; and </w:t>
      </w:r>
    </w:p>
    <w:p w:rsidR="00397042" w:rsidRDefault="00397042" w:rsidP="00397042">
      <w:pPr>
        <w:spacing w:line="480" w:lineRule="auto"/>
        <w:jc w:val="both"/>
        <w:rPr>
          <w:rFonts w:asciiTheme="majorBidi" w:hAnsiTheme="majorBidi" w:cstheme="majorBidi"/>
          <w:lang w:val="en-US"/>
        </w:rPr>
      </w:pPr>
      <w:r>
        <w:rPr>
          <w:rFonts w:asciiTheme="majorBidi" w:hAnsiTheme="majorBidi" w:cstheme="majorBidi"/>
          <w:lang w:val="en-US"/>
        </w:rPr>
        <w:t xml:space="preserve">(iii)  a lack of 2ME2-induced reversal of resistance to infection in non-transformed human foreskin fibroblasts. </w:t>
      </w:r>
    </w:p>
    <w:p w:rsidR="00397042" w:rsidRDefault="00397042" w:rsidP="00397042">
      <w:pPr>
        <w:spacing w:line="480" w:lineRule="auto"/>
        <w:jc w:val="both"/>
        <w:rPr>
          <w:rFonts w:asciiTheme="majorBidi" w:hAnsiTheme="majorBidi" w:cstheme="majorBidi"/>
          <w:lang w:val="en-US"/>
        </w:rPr>
      </w:pPr>
      <w:r>
        <w:rPr>
          <w:rFonts w:asciiTheme="majorBidi" w:hAnsiTheme="majorBidi" w:cstheme="majorBidi"/>
          <w:lang w:val="en-US"/>
        </w:rPr>
        <w:lastRenderedPageBreak/>
        <w:t xml:space="preserve">The observed enhancement mechanisms were connected to increased c-Jun N-terminal Kinase (JNK) activity, which proved essential for the following downstream effects: </w:t>
      </w:r>
    </w:p>
    <w:p w:rsidR="00397042" w:rsidRDefault="00397042" w:rsidP="00397042">
      <w:pPr>
        <w:spacing w:line="480" w:lineRule="auto"/>
        <w:jc w:val="both"/>
        <w:rPr>
          <w:rFonts w:asciiTheme="majorBidi" w:hAnsiTheme="majorBidi" w:cstheme="majorBidi"/>
          <w:lang w:val="en-US"/>
        </w:rPr>
      </w:pPr>
      <w:r>
        <w:rPr>
          <w:rFonts w:asciiTheme="majorBidi" w:hAnsiTheme="majorBidi" w:cstheme="majorBidi"/>
          <w:lang w:val="en-US"/>
        </w:rPr>
        <w:t>(</w:t>
      </w:r>
      <w:proofErr w:type="spellStart"/>
      <w:r>
        <w:rPr>
          <w:rFonts w:asciiTheme="majorBidi" w:hAnsiTheme="majorBidi" w:cstheme="majorBidi"/>
          <w:lang w:val="en-US"/>
        </w:rPr>
        <w:t>i</w:t>
      </w:r>
      <w:proofErr w:type="spellEnd"/>
      <w:r>
        <w:rPr>
          <w:rFonts w:asciiTheme="majorBidi" w:hAnsiTheme="majorBidi" w:cstheme="majorBidi"/>
          <w:lang w:val="en-US"/>
        </w:rPr>
        <w:t xml:space="preserve">) elevated expression of the pro-apoptotic factor NOXA; </w:t>
      </w:r>
    </w:p>
    <w:p w:rsidR="00397042" w:rsidRDefault="00397042" w:rsidP="00397042">
      <w:pPr>
        <w:spacing w:line="480" w:lineRule="auto"/>
        <w:jc w:val="both"/>
        <w:rPr>
          <w:rFonts w:asciiTheme="majorBidi" w:hAnsiTheme="majorBidi" w:cstheme="majorBidi"/>
          <w:lang w:val="en-US"/>
        </w:rPr>
      </w:pPr>
      <w:r>
        <w:rPr>
          <w:rFonts w:asciiTheme="majorBidi" w:hAnsiTheme="majorBidi" w:cstheme="majorBidi"/>
          <w:lang w:val="en-US"/>
        </w:rPr>
        <w:t xml:space="preserve">(ii) increased caspase activity; and </w:t>
      </w:r>
    </w:p>
    <w:p w:rsidR="00397042" w:rsidRDefault="00397042" w:rsidP="00397042">
      <w:pPr>
        <w:spacing w:line="480" w:lineRule="auto"/>
        <w:jc w:val="both"/>
        <w:rPr>
          <w:rFonts w:asciiTheme="majorBidi" w:hAnsiTheme="majorBidi" w:cstheme="majorBidi"/>
          <w:lang w:val="en-US"/>
        </w:rPr>
      </w:pPr>
      <w:r>
        <w:rPr>
          <w:rFonts w:asciiTheme="majorBidi" w:hAnsiTheme="majorBidi" w:cstheme="majorBidi"/>
          <w:lang w:val="en-US"/>
        </w:rPr>
        <w:t xml:space="preserve">(iii) enhanced calreticulin exposure at the plasma membrane, an indicator of immunogenic cell death. These combined effects align with the activation of immunogenic apoptosis in cells that underwent both infection and treatment. </w:t>
      </w:r>
    </w:p>
    <w:p w:rsidR="00397042" w:rsidRDefault="00397042" w:rsidP="00397042">
      <w:pPr>
        <w:spacing w:line="480" w:lineRule="auto"/>
        <w:jc w:val="both"/>
        <w:rPr>
          <w:rFonts w:asciiTheme="majorBidi" w:hAnsiTheme="majorBidi" w:cstheme="majorBidi"/>
          <w:u w:val="single"/>
          <w:lang w:val="en-US"/>
        </w:rPr>
      </w:pPr>
      <w:r>
        <w:rPr>
          <w:rFonts w:asciiTheme="majorBidi" w:hAnsiTheme="majorBidi" w:cstheme="majorBidi"/>
          <w:lang w:val="en-US"/>
        </w:rPr>
        <w:t xml:space="preserve">These results suggest that combining OVs and MTAs, in general, and 2ME2 with EHDV-TAU, in particular, may exploit the increased susceptibility of cell-cycle-disrupted cancer cells to viral infection and programmed cell death mechanisms. Such therapeutic combinations could potentially enhance virus-based treatment strategies for bladder cancer and other malignancies. </w:t>
      </w:r>
    </w:p>
    <w:p w:rsidR="00397042" w:rsidRDefault="00397042" w:rsidP="00397042">
      <w:pPr>
        <w:spacing w:line="480" w:lineRule="auto"/>
        <w:jc w:val="both"/>
        <w:rPr>
          <w:rFonts w:asciiTheme="majorBidi" w:hAnsiTheme="majorBidi" w:cstheme="majorBidi"/>
          <w:lang w:val="en-US"/>
        </w:rPr>
      </w:pPr>
      <w:r w:rsidRPr="00610F2C">
        <w:rPr>
          <w:rFonts w:asciiTheme="majorBidi" w:hAnsiTheme="majorBidi" w:cstheme="majorBidi"/>
          <w:lang w:val="en-US"/>
        </w:rPr>
        <w:t xml:space="preserve">Within the framework of this </w:t>
      </w:r>
      <w:r>
        <w:rPr>
          <w:rFonts w:asciiTheme="majorBidi" w:hAnsiTheme="majorBidi" w:cstheme="majorBidi"/>
          <w:lang w:val="en-US"/>
        </w:rPr>
        <w:t>project, I also developed a methodology to assess cell fate at single-cell resolution using quantitative immunofluorescence microscopy. Specifically, T24 bladder cancer cells were treated with 2ME2, alone or in combination with the oncolytic EHDV-TAU. Quantification of nuclear features, such as area, perimeter, and shape, combined with morphological features of the cytoskeleton and detection of expression of a viral non-structural protein, enabled the classification of cell fates, including mitotic index and arrest, mitotic slippage, and defective cytokinesis, and their correlation with infection.  This approach offers a robust, scalable, and cost-effective method for studying virus-compound combination therapies in cancer research.</w:t>
      </w:r>
    </w:p>
    <w:p w:rsidR="00397042" w:rsidRDefault="00397042" w:rsidP="00397042">
      <w:pPr>
        <w:spacing w:line="360" w:lineRule="auto"/>
        <w:jc w:val="both"/>
        <w:rPr>
          <w:rFonts w:asciiTheme="majorBidi" w:hAnsiTheme="majorBidi" w:cstheme="majorBidi"/>
          <w:u w:val="single"/>
          <w:lang w:val="en-US"/>
        </w:rPr>
      </w:pPr>
    </w:p>
    <w:p w:rsidR="00397042" w:rsidRDefault="00397042" w:rsidP="00397042">
      <w:pPr>
        <w:spacing w:line="360" w:lineRule="auto"/>
        <w:jc w:val="both"/>
        <w:rPr>
          <w:rFonts w:asciiTheme="majorBidi" w:hAnsiTheme="majorBidi" w:cstheme="majorBidi"/>
          <w:u w:val="single"/>
          <w:lang w:val="en-US"/>
        </w:rPr>
      </w:pPr>
    </w:p>
    <w:p w:rsidR="00397042" w:rsidRPr="00397042" w:rsidRDefault="00397042" w:rsidP="00397042">
      <w:pPr>
        <w:rPr>
          <w:rFonts w:asciiTheme="majorBidi" w:hAnsiTheme="majorBidi" w:cstheme="majorBidi"/>
          <w:lang w:val="en-US"/>
        </w:rPr>
      </w:pPr>
    </w:p>
    <w:sectPr w:rsidR="00397042" w:rsidRPr="00397042" w:rsidSect="000812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42"/>
    <w:rsid w:val="000812FB"/>
    <w:rsid w:val="002C4D14"/>
    <w:rsid w:val="00397042"/>
    <w:rsid w:val="003E2C36"/>
    <w:rsid w:val="0070408F"/>
    <w:rsid w:val="00C14696"/>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decimalSymbol w:val="."/>
  <w:listSeparator w:val=","/>
  <w14:docId w14:val="66FC89AB"/>
  <w15:chartTrackingRefBased/>
  <w15:docId w15:val="{C229640B-7E92-E94A-BD8E-F4D1D842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Sucheta De</dc:creator>
  <cp:keywords/>
  <dc:description/>
  <cp:lastModifiedBy>Sucheta De</cp:lastModifiedBy>
  <cp:revision>3</cp:revision>
  <dcterms:created xsi:type="dcterms:W3CDTF">2025-10-21T12:35:00Z</dcterms:created>
  <dcterms:modified xsi:type="dcterms:W3CDTF">2025-12-16T19:56:00Z</dcterms:modified>
</cp:coreProperties>
</file>