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C82D" w14:textId="77777777" w:rsidR="006F462C" w:rsidRPr="003C67C8" w:rsidRDefault="006F462C" w:rsidP="006F462C">
      <w:pPr>
        <w:spacing w:line="360" w:lineRule="auto"/>
        <w:jc w:val="both"/>
        <w:rPr>
          <w:rFonts w:asciiTheme="minorBidi" w:hAnsiTheme="minorBidi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30B2A" wp14:editId="533FA56F">
            <wp:simplePos x="0" y="0"/>
            <wp:positionH relativeFrom="column">
              <wp:posOffset>748402</wp:posOffset>
            </wp:positionH>
            <wp:positionV relativeFrom="paragraph">
              <wp:posOffset>-424156</wp:posOffset>
            </wp:positionV>
            <wp:extent cx="4257675" cy="626110"/>
            <wp:effectExtent l="0" t="0" r="9525" b="2540"/>
            <wp:wrapNone/>
            <wp:docPr id="1118020395" name="Picture 1" descr="TAU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U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634F3" w14:textId="77777777" w:rsidR="006F462C" w:rsidRDefault="006F462C" w:rsidP="006F462C">
      <w:pPr>
        <w:pStyle w:val="Header"/>
        <w:jc w:val="center"/>
        <w:rPr>
          <w:b/>
          <w:bCs/>
          <w:rtl/>
        </w:rPr>
      </w:pPr>
      <w:r w:rsidRPr="00644F6B">
        <w:rPr>
          <w:b/>
          <w:bCs/>
          <w:rtl/>
        </w:rPr>
        <w:t xml:space="preserve">המדרשה לתארים מתקדמים ע"ש משפחת </w:t>
      </w:r>
      <w:proofErr w:type="spellStart"/>
      <w:r w:rsidRPr="00644F6B">
        <w:rPr>
          <w:b/>
          <w:bCs/>
          <w:rtl/>
        </w:rPr>
        <w:t>סמולרש</w:t>
      </w:r>
      <w:proofErr w:type="spellEnd"/>
    </w:p>
    <w:p w14:paraId="4BEA1682" w14:textId="77777777" w:rsidR="006F462C" w:rsidRDefault="006F462C" w:rsidP="006F462C">
      <w:pPr>
        <w:pStyle w:val="Header"/>
        <w:jc w:val="center"/>
        <w:rPr>
          <w:b/>
          <w:bCs/>
        </w:rPr>
      </w:pPr>
      <w:r w:rsidRPr="00644F6B">
        <w:rPr>
          <w:b/>
          <w:bCs/>
          <w:rtl/>
        </w:rPr>
        <w:t xml:space="preserve"> </w:t>
      </w:r>
      <w:r w:rsidRPr="00644F6B">
        <w:rPr>
          <w:b/>
          <w:bCs/>
        </w:rPr>
        <w:t>THE SMOLARZ FAMILY GRADUATE SCHOOL</w:t>
      </w:r>
    </w:p>
    <w:p w14:paraId="6E6E56F6" w14:textId="77777777" w:rsidR="006F462C" w:rsidRDefault="006F462C" w:rsidP="006F462C">
      <w:pPr>
        <w:jc w:val="center"/>
        <w:rPr>
          <w:rtl/>
        </w:rPr>
      </w:pPr>
    </w:p>
    <w:p w14:paraId="1A0AFE20" w14:textId="77777777" w:rsidR="006F462C" w:rsidRDefault="006F462C" w:rsidP="006F462C">
      <w:pPr>
        <w:jc w:val="center"/>
        <w:rPr>
          <w:rtl/>
        </w:rPr>
      </w:pPr>
    </w:p>
    <w:p w14:paraId="32C3D4B0" w14:textId="77777777" w:rsidR="006F462C" w:rsidRPr="000E5AD6" w:rsidRDefault="006F462C" w:rsidP="006F462C">
      <w:pPr>
        <w:jc w:val="center"/>
        <w:rPr>
          <w:rtl/>
        </w:rPr>
      </w:pPr>
      <w:r>
        <w:t>“</w:t>
      </w:r>
      <w:r w:rsidRPr="000E5AD6">
        <w:t>Studying population dynamics of Listeria monocytogenes phage elements</w:t>
      </w:r>
      <w:r>
        <w:rPr>
          <w:rFonts w:hint="cs"/>
          <w:rtl/>
        </w:rPr>
        <w:t>"</w:t>
      </w:r>
    </w:p>
    <w:p w14:paraId="1DC32D38" w14:textId="77777777" w:rsidR="006F462C" w:rsidRPr="00117188" w:rsidRDefault="006F462C" w:rsidP="006F462C">
      <w:pPr>
        <w:jc w:val="center"/>
        <w:rPr>
          <w:rFonts w:ascii="Calibri" w:hAnsi="Calibri" w:cs="Calibri"/>
          <w:rtl/>
        </w:rPr>
      </w:pPr>
    </w:p>
    <w:p w14:paraId="63AA898B" w14:textId="77777777" w:rsidR="006F462C" w:rsidRDefault="006F462C" w:rsidP="006F462C">
      <w:pPr>
        <w:rPr>
          <w:rFonts w:ascii="Calibri" w:hAnsi="Calibri" w:cs="Calibri"/>
        </w:rPr>
      </w:pPr>
    </w:p>
    <w:p w14:paraId="206B8F49" w14:textId="77777777" w:rsidR="006F462C" w:rsidRPr="00117188" w:rsidRDefault="006F462C" w:rsidP="006F462C">
      <w:pPr>
        <w:jc w:val="center"/>
        <w:rPr>
          <w:rFonts w:ascii="Calibri" w:hAnsi="Calibri" w:cs="Calibri"/>
        </w:rPr>
      </w:pPr>
    </w:p>
    <w:p w14:paraId="5964ABAD" w14:textId="77777777" w:rsidR="006F462C" w:rsidRPr="00117188" w:rsidRDefault="006F462C" w:rsidP="006F462C">
      <w:pPr>
        <w:jc w:val="center"/>
        <w:rPr>
          <w:rFonts w:ascii="Calibri" w:hAnsi="Calibri" w:cs="Calibri"/>
        </w:rPr>
      </w:pPr>
      <w:r w:rsidRPr="00117188">
        <w:rPr>
          <w:rFonts w:ascii="Calibri" w:hAnsi="Calibri" w:cs="Calibri"/>
        </w:rPr>
        <w:t>THESIS SUBMITTED FOR THE DEGREE "DOCTOR OF PHILOSOPHY</w:t>
      </w:r>
      <w:r>
        <w:rPr>
          <w:rFonts w:ascii="Calibri" w:hAnsi="Calibri" w:cs="Calibri"/>
        </w:rPr>
        <w:t>"</w:t>
      </w:r>
    </w:p>
    <w:p w14:paraId="061AE29E" w14:textId="77777777" w:rsidR="006F462C" w:rsidRDefault="006F462C" w:rsidP="006F462C">
      <w:pPr>
        <w:jc w:val="center"/>
        <w:rPr>
          <w:rFonts w:ascii="Calibri" w:hAnsi="Calibri" w:cs="Calibri"/>
        </w:rPr>
      </w:pPr>
      <w:r w:rsidRPr="00117188">
        <w:rPr>
          <w:rFonts w:ascii="Calibri" w:hAnsi="Calibri" w:cs="Calibri"/>
        </w:rPr>
        <w:t>BY</w:t>
      </w:r>
    </w:p>
    <w:p w14:paraId="507487E9" w14:textId="77777777" w:rsidR="006F462C" w:rsidRPr="00117188" w:rsidRDefault="006F462C" w:rsidP="006F462C">
      <w:pPr>
        <w:jc w:val="center"/>
        <w:rPr>
          <w:rFonts w:ascii="Calibri" w:hAnsi="Calibri" w:cs="Calibri"/>
          <w:rtl/>
        </w:rPr>
      </w:pPr>
    </w:p>
    <w:p w14:paraId="218EDE8C" w14:textId="77777777" w:rsidR="006F462C" w:rsidRPr="00117188" w:rsidRDefault="006F462C" w:rsidP="006F462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Yogev Adler</w:t>
      </w:r>
    </w:p>
    <w:p w14:paraId="00FC5FBA" w14:textId="77777777" w:rsidR="006F462C" w:rsidRDefault="006F462C" w:rsidP="006F462C">
      <w:pPr>
        <w:jc w:val="center"/>
        <w:rPr>
          <w:rFonts w:ascii="Calibri" w:hAnsi="Calibri" w:cs="Calibri"/>
        </w:rPr>
      </w:pPr>
    </w:p>
    <w:p w14:paraId="6CF12541" w14:textId="77777777" w:rsidR="006F462C" w:rsidRDefault="006F462C" w:rsidP="006F462C">
      <w:pPr>
        <w:jc w:val="center"/>
        <w:rPr>
          <w:rFonts w:ascii="Calibri" w:hAnsi="Calibri" w:cs="Calibri"/>
        </w:rPr>
      </w:pPr>
    </w:p>
    <w:p w14:paraId="7A2F21C7" w14:textId="77777777" w:rsidR="006F462C" w:rsidRDefault="006F462C" w:rsidP="006F462C">
      <w:pPr>
        <w:rPr>
          <w:rFonts w:ascii="Calibri" w:hAnsi="Calibri" w:cs="Calibri"/>
        </w:rPr>
      </w:pPr>
    </w:p>
    <w:p w14:paraId="7D2FBBB6" w14:textId="77777777" w:rsidR="006F462C" w:rsidRDefault="006F462C" w:rsidP="006F462C">
      <w:pPr>
        <w:jc w:val="center"/>
        <w:rPr>
          <w:rFonts w:ascii="Calibri" w:hAnsi="Calibri" w:cs="Calibri"/>
          <w:rtl/>
        </w:rPr>
      </w:pPr>
    </w:p>
    <w:p w14:paraId="2B412F07" w14:textId="77777777" w:rsidR="006F462C" w:rsidRDefault="006F462C" w:rsidP="006F462C">
      <w:pPr>
        <w:jc w:val="center"/>
        <w:rPr>
          <w:rFonts w:ascii="Calibri" w:hAnsi="Calibri" w:cs="Calibri"/>
        </w:rPr>
      </w:pPr>
      <w:r w:rsidRPr="00C87E30">
        <w:rPr>
          <w:rFonts w:ascii="Calibri" w:hAnsi="Calibri" w:cs="Calibri"/>
        </w:rPr>
        <w:t>This work was carried out under the supervision of</w:t>
      </w:r>
    </w:p>
    <w:p w14:paraId="7EB5E765" w14:textId="77777777" w:rsidR="006F462C" w:rsidRDefault="006F462C" w:rsidP="006F462C">
      <w:pPr>
        <w:jc w:val="center"/>
        <w:rPr>
          <w:rFonts w:ascii="Calibri" w:hAnsi="Calibri" w:cs="Calibri"/>
        </w:rPr>
      </w:pPr>
    </w:p>
    <w:p w14:paraId="237B1550" w14:textId="77777777" w:rsidR="006F462C" w:rsidRDefault="006F462C" w:rsidP="006F462C">
      <w:pPr>
        <w:jc w:val="center"/>
        <w:rPr>
          <w:rFonts w:ascii="Calibri" w:hAnsi="Calibri" w:cs="Calibri"/>
        </w:rPr>
      </w:pPr>
      <w:r w:rsidRPr="00C87E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Anat Herskovits</w:t>
      </w:r>
      <w:r w:rsidRPr="00C87E30">
        <w:rPr>
          <w:rFonts w:ascii="Calibri" w:hAnsi="Calibri" w:cs="Calibri"/>
        </w:rPr>
        <w:t xml:space="preserve"> </w:t>
      </w:r>
    </w:p>
    <w:p w14:paraId="43ED6F36" w14:textId="77777777" w:rsidR="006F462C" w:rsidRPr="00117188" w:rsidRDefault="006F462C" w:rsidP="006F462C">
      <w:pPr>
        <w:jc w:val="center"/>
        <w:rPr>
          <w:rFonts w:ascii="Calibri" w:hAnsi="Calibri" w:cs="Calibri"/>
          <w:rtl/>
        </w:rPr>
      </w:pPr>
    </w:p>
    <w:p w14:paraId="06D03998" w14:textId="77777777" w:rsidR="006F462C" w:rsidRDefault="006F462C" w:rsidP="006F462C">
      <w:pPr>
        <w:rPr>
          <w:rFonts w:ascii="Calibri" w:hAnsi="Calibri" w:cs="Calibri"/>
        </w:rPr>
      </w:pPr>
    </w:p>
    <w:p w14:paraId="7D3E40ED" w14:textId="77777777" w:rsidR="006F462C" w:rsidRDefault="006F462C" w:rsidP="006F462C">
      <w:pPr>
        <w:jc w:val="center"/>
        <w:rPr>
          <w:rFonts w:ascii="Calibri" w:hAnsi="Calibri" w:cs="Calibri"/>
        </w:rPr>
      </w:pPr>
    </w:p>
    <w:p w14:paraId="584DB397" w14:textId="77777777" w:rsidR="006F462C" w:rsidRPr="00117188" w:rsidRDefault="006F462C" w:rsidP="006F462C">
      <w:pPr>
        <w:jc w:val="center"/>
        <w:rPr>
          <w:rFonts w:ascii="Calibri" w:hAnsi="Calibri" w:cs="Calibri"/>
        </w:rPr>
      </w:pPr>
    </w:p>
    <w:p w14:paraId="37EF8C7C" w14:textId="77777777" w:rsidR="006F462C" w:rsidRPr="00117188" w:rsidRDefault="006F462C" w:rsidP="006F462C">
      <w:pPr>
        <w:jc w:val="center"/>
        <w:rPr>
          <w:rFonts w:ascii="Calibri" w:hAnsi="Calibri" w:cs="Calibri"/>
          <w:rtl/>
        </w:rPr>
      </w:pPr>
      <w:r w:rsidRPr="00117188">
        <w:rPr>
          <w:rFonts w:ascii="Calibri" w:hAnsi="Calibri" w:cs="Calibri"/>
        </w:rPr>
        <w:t>Submitted to the senate of Tel Aviv university</w:t>
      </w:r>
    </w:p>
    <w:p w14:paraId="7BED48B6" w14:textId="77777777" w:rsidR="006F462C" w:rsidRPr="00117188" w:rsidRDefault="006F462C" w:rsidP="006F462C">
      <w:pPr>
        <w:jc w:val="center"/>
        <w:rPr>
          <w:rFonts w:ascii="Calibri" w:hAnsi="Calibri" w:cs="Calibri"/>
        </w:rPr>
      </w:pPr>
    </w:p>
    <w:p w14:paraId="590B5BE3" w14:textId="77777777" w:rsidR="006F462C" w:rsidRPr="00117188" w:rsidRDefault="006F462C" w:rsidP="006F462C">
      <w:pPr>
        <w:jc w:val="center"/>
        <w:rPr>
          <w:rFonts w:ascii="Calibri" w:hAnsi="Calibri" w:cs="Calibri"/>
          <w:rtl/>
        </w:rPr>
      </w:pPr>
      <w:r>
        <w:rPr>
          <w:rFonts w:ascii="Calibri" w:hAnsi="Calibri" w:cs="Calibri"/>
        </w:rPr>
        <w:t>03/02/25</w:t>
      </w:r>
    </w:p>
    <w:p w14:paraId="23D0F15A" w14:textId="77777777" w:rsidR="006F462C" w:rsidRPr="00117188" w:rsidRDefault="006F462C" w:rsidP="006F462C">
      <w:pPr>
        <w:rPr>
          <w:rtl/>
        </w:rPr>
      </w:pPr>
    </w:p>
    <w:p w14:paraId="21C7D407" w14:textId="77777777" w:rsidR="006F462C" w:rsidRDefault="006F462C" w:rsidP="006F462C">
      <w:pPr>
        <w:rPr>
          <w:rFonts w:asciiTheme="minorBidi" w:hAnsiTheme="minorBidi"/>
        </w:rPr>
      </w:pPr>
    </w:p>
    <w:p w14:paraId="0A1DCB37" w14:textId="77777777" w:rsidR="006F462C" w:rsidRPr="00DC4A8C" w:rsidRDefault="006F462C" w:rsidP="006F462C">
      <w:pPr>
        <w:pStyle w:val="NormalWeb"/>
        <w:spacing w:line="360" w:lineRule="auto"/>
        <w:jc w:val="both"/>
        <w:rPr>
          <w:sz w:val="22"/>
          <w:szCs w:val="22"/>
        </w:rPr>
      </w:pPr>
      <w:r w:rsidRPr="006F5518">
        <w:rPr>
          <w:rStyle w:val="Strong"/>
          <w:rFonts w:asciiTheme="minorBidi" w:eastAsiaTheme="majorEastAsia" w:hAnsiTheme="minorBidi" w:cstheme="minorBidi"/>
          <w:sz w:val="28"/>
          <w:szCs w:val="28"/>
        </w:rPr>
        <w:t>Abstract</w:t>
      </w:r>
      <w:r>
        <w:br/>
      </w:r>
      <w:r w:rsidRPr="00DC4A8C">
        <w:rPr>
          <w:rStyle w:val="Emphasis"/>
          <w:rFonts w:asciiTheme="minorBidi" w:eastAsiaTheme="majorEastAsia" w:hAnsiTheme="minorBidi" w:cstheme="minorBidi"/>
          <w:sz w:val="22"/>
          <w:szCs w:val="22"/>
        </w:rPr>
        <w:t>Listeria monocytogenes</w:t>
      </w:r>
      <w:r w:rsidRPr="00DC4A8C">
        <w:rPr>
          <w:rFonts w:asciiTheme="minorBidi" w:hAnsiTheme="minorBidi" w:cstheme="minorBidi"/>
          <w:sz w:val="22"/>
          <w:szCs w:val="22"/>
        </w:rPr>
        <w:t xml:space="preserve">, a Gram-positive pathogen, poses significant risks to immunocompromised populations, causing severe illnesses with high morbidity and mortality. Within the genome of strain 10403S, two distinct phage-derived elements coexist: the infective prophage Φ10403S and a cryptic bacteriocin-like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monocin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element. Here, we explore the intricate regulatory interplay between these elements and their broader implications for bacterial adaptability and virulence.</w:t>
      </w:r>
    </w:p>
    <w:p w14:paraId="3409B913" w14:textId="77777777" w:rsidR="006F462C" w:rsidRPr="00DC4A8C" w:rsidRDefault="006F462C" w:rsidP="006F462C">
      <w:pPr>
        <w:pStyle w:val="NormalWeb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DC4A8C">
        <w:rPr>
          <w:rFonts w:asciiTheme="minorBidi" w:hAnsiTheme="minorBidi" w:cstheme="minorBidi"/>
          <w:sz w:val="22"/>
          <w:szCs w:val="22"/>
        </w:rPr>
        <w:t xml:space="preserve">Using fluorescent reporter constructs and flow cytometry, we discovered that </w:t>
      </w:r>
      <w:r>
        <w:rPr>
          <w:rFonts w:asciiTheme="minorBidi" w:hAnsiTheme="minorBidi" w:cstheme="minorBidi"/>
          <w:sz w:val="22"/>
          <w:szCs w:val="22"/>
        </w:rPr>
        <w:t xml:space="preserve">the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monocin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element </w:t>
      </w:r>
      <w:r w:rsidRPr="00DC4A8C">
        <w:rPr>
          <w:rFonts w:asciiTheme="minorBidi" w:hAnsiTheme="minorBidi" w:cstheme="minorBidi"/>
          <w:sz w:val="22"/>
          <w:szCs w:val="22"/>
        </w:rPr>
        <w:t xml:space="preserve">and Φ10403S undergo a coordinated, hierarchical induction. In response to the host SOS response,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MpaR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first cleaves the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monocin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CI-like repressor, initiating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monocin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lytic gene expression. Subsequently,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LmaD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—a putative regulatory protein- becomes highly expressed and </w:t>
      </w:r>
      <w:r>
        <w:rPr>
          <w:rFonts w:asciiTheme="minorBidi" w:hAnsiTheme="minorBidi" w:cstheme="minorBidi"/>
          <w:sz w:val="22"/>
          <w:szCs w:val="22"/>
        </w:rPr>
        <w:t>upregulates</w:t>
      </w:r>
      <w:r w:rsidRPr="00DC4A8C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the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monocin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ly</w:t>
      </w:r>
      <w:r>
        <w:rPr>
          <w:rFonts w:asciiTheme="minorBidi" w:hAnsiTheme="minorBidi" w:cstheme="minorBidi"/>
          <w:sz w:val="22"/>
          <w:szCs w:val="22"/>
        </w:rPr>
        <w:t>tic</w:t>
      </w:r>
      <w:r w:rsidRPr="00DC4A8C">
        <w:rPr>
          <w:rFonts w:asciiTheme="minorBidi" w:hAnsiTheme="minorBidi" w:cstheme="minorBidi"/>
          <w:sz w:val="22"/>
          <w:szCs w:val="22"/>
        </w:rPr>
        <w:t xml:space="preserve"> genes. Notably, once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LmaD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accumulates to sufficient levels, it interacts directly with the Φ10403S CI-like repressor, facilitating its cleavage by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MpaR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and thereby triggering phage induction. These findings highlight the co-evolution of Φ10403S and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monocin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in </w:t>
      </w:r>
      <w:r w:rsidRPr="00DC4A8C">
        <w:rPr>
          <w:rStyle w:val="Emphasis"/>
          <w:rFonts w:asciiTheme="minorBidi" w:eastAsiaTheme="majorEastAsia" w:hAnsiTheme="minorBidi" w:cstheme="minorBidi"/>
          <w:sz w:val="22"/>
          <w:szCs w:val="22"/>
        </w:rPr>
        <w:t>L. monocytogenes</w:t>
      </w:r>
      <w:r w:rsidRPr="00DC4A8C">
        <w:rPr>
          <w:rFonts w:asciiTheme="minorBidi" w:hAnsiTheme="minorBidi" w:cstheme="minorBidi"/>
          <w:sz w:val="22"/>
          <w:szCs w:val="22"/>
        </w:rPr>
        <w:t>, enabling finely tuned decision-making processes (e.g., when to undergo lytic induction) to optimize bacterial survival under stressful conditions.</w:t>
      </w:r>
    </w:p>
    <w:p w14:paraId="740DDB4D" w14:textId="77777777" w:rsidR="006F462C" w:rsidRPr="00DC4A8C" w:rsidRDefault="006F462C" w:rsidP="006F462C">
      <w:pPr>
        <w:pStyle w:val="NormalWeb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  <w:r w:rsidRPr="00DC4A8C">
        <w:rPr>
          <w:rFonts w:asciiTheme="minorBidi" w:hAnsiTheme="minorBidi" w:cstheme="minorBidi"/>
          <w:sz w:val="22"/>
          <w:szCs w:val="22"/>
        </w:rPr>
        <w:t xml:space="preserve">This work advances our understanding of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polylysogeny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and inter-phage communication in </w:t>
      </w:r>
      <w:r w:rsidRPr="00DC4A8C">
        <w:rPr>
          <w:rStyle w:val="Emphasis"/>
          <w:rFonts w:asciiTheme="minorBidi" w:eastAsiaTheme="majorEastAsia" w:hAnsiTheme="minorBidi" w:cstheme="minorBidi"/>
          <w:sz w:val="22"/>
          <w:szCs w:val="22"/>
        </w:rPr>
        <w:t>L. monocytogenes</w:t>
      </w:r>
      <w:r w:rsidRPr="00DC4A8C">
        <w:rPr>
          <w:rFonts w:asciiTheme="minorBidi" w:hAnsiTheme="minorBidi" w:cstheme="minorBidi"/>
          <w:sz w:val="22"/>
          <w:szCs w:val="22"/>
        </w:rPr>
        <w:t xml:space="preserve">, shedding light on bacterial evolution and pathogenesis. By elucidating how the </w:t>
      </w:r>
      <w:proofErr w:type="spellStart"/>
      <w:r w:rsidRPr="00DC4A8C">
        <w:rPr>
          <w:rFonts w:asciiTheme="minorBidi" w:hAnsiTheme="minorBidi" w:cstheme="minorBidi"/>
          <w:sz w:val="22"/>
          <w:szCs w:val="22"/>
        </w:rPr>
        <w:t>monocin</w:t>
      </w:r>
      <w:proofErr w:type="spellEnd"/>
      <w:r w:rsidRPr="00DC4A8C">
        <w:rPr>
          <w:rFonts w:asciiTheme="minorBidi" w:hAnsiTheme="minorBidi" w:cstheme="minorBidi"/>
          <w:sz w:val="22"/>
          <w:szCs w:val="22"/>
        </w:rPr>
        <w:t xml:space="preserve"> and Φ10403S orchestrate their mutual regulation, this study underscores the complex adaptive strategies that bacterial pathogens employ to navigate fluctuating environments.</w:t>
      </w:r>
    </w:p>
    <w:p w14:paraId="44A619C1" w14:textId="77777777" w:rsidR="0089453B" w:rsidRPr="006F462C" w:rsidRDefault="0089453B">
      <w:pPr>
        <w:rPr>
          <w:lang w:val="en-US"/>
        </w:rPr>
      </w:pPr>
    </w:p>
    <w:sectPr w:rsidR="0089453B" w:rsidRPr="006F4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2C"/>
    <w:rsid w:val="001E1E16"/>
    <w:rsid w:val="00214EDE"/>
    <w:rsid w:val="00357B6A"/>
    <w:rsid w:val="004041FA"/>
    <w:rsid w:val="004F57A5"/>
    <w:rsid w:val="00676A70"/>
    <w:rsid w:val="006F462C"/>
    <w:rsid w:val="007F38D9"/>
    <w:rsid w:val="00804A55"/>
    <w:rsid w:val="00832BE9"/>
    <w:rsid w:val="00857355"/>
    <w:rsid w:val="008827F1"/>
    <w:rsid w:val="0089453B"/>
    <w:rsid w:val="009F10DB"/>
    <w:rsid w:val="00CA3C84"/>
    <w:rsid w:val="00E86CE8"/>
    <w:rsid w:val="00EF0E07"/>
    <w:rsid w:val="00F36A23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63EF"/>
  <w15:chartTrackingRefBased/>
  <w15:docId w15:val="{DF9F2416-B04E-4877-A7D0-C3A110B1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2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6F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6F462C"/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6F462C"/>
    <w:rPr>
      <w:i/>
      <w:iCs/>
    </w:rPr>
  </w:style>
  <w:style w:type="character" w:styleId="Strong">
    <w:name w:val="Strong"/>
    <w:basedOn w:val="DefaultParagraphFont"/>
    <w:uiPriority w:val="22"/>
    <w:qFormat/>
    <w:rsid w:val="006F46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F462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F462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>Weizmann Institute of Science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Yogev Adler</dc:creator>
  <cp:keywords/>
  <dc:description/>
  <cp:lastModifiedBy>Yogev Adler</cp:lastModifiedBy>
  <cp:revision>1</cp:revision>
  <dcterms:created xsi:type="dcterms:W3CDTF">2025-07-10T08:04:00Z</dcterms:created>
  <dcterms:modified xsi:type="dcterms:W3CDTF">2025-07-10T08:04:00Z</dcterms:modified>
</cp:coreProperties>
</file>